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44" w:after="144"/>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pacing w:lineRule="auto" w:line="240" w:before="144" w:after="144"/>
        <w:jc w:val="center"/>
        <w:rPr/>
      </w:pPr>
      <w:r>
        <w:rPr>
          <w:rFonts w:eastAsia="Times New Roman" w:cs="Times New Roman" w:ascii="Times New Roman" w:hAnsi="Times New Roman"/>
          <w:b/>
          <w:bCs/>
          <w:sz w:val="20"/>
          <w:szCs w:val="20"/>
        </w:rPr>
        <w:t>Stan na dzień sporządzenia prospektu informacyjnego 27</w:t>
      </w:r>
      <w:r>
        <w:rPr>
          <w:rFonts w:eastAsia="Times New Roman" w:cs="Times New Roman" w:ascii="Times New Roman" w:hAnsi="Times New Roman"/>
          <w:b/>
          <w:bCs/>
          <w:color w:val="000000"/>
          <w:sz w:val="20"/>
          <w:szCs w:val="20"/>
        </w:rPr>
        <w:t>.03.2026</w:t>
      </w:r>
    </w:p>
    <w:p>
      <w:pPr>
        <w:pStyle w:val="Normal"/>
        <w:spacing w:lineRule="auto" w:line="240" w:before="144" w:after="144"/>
        <w:jc w:val="center"/>
        <w:rPr>
          <w:color w:val="C9211E"/>
        </w:rPr>
      </w:pPr>
      <w:r>
        <w:rPr>
          <w:rFonts w:eastAsia="Times New Roman" w:cs="Times New Roman" w:ascii="Times New Roman" w:hAnsi="Times New Roman"/>
          <w:b/>
          <w:bCs/>
          <w:color w:val="C9211E"/>
          <w:sz w:val="20"/>
          <w:szCs w:val="20"/>
        </w:rPr>
        <w:t>Aktualizacja na dzień 20.04.2026</w:t>
      </w:r>
    </w:p>
    <w:p>
      <w:pPr>
        <w:pStyle w:val="Normal"/>
        <w:widowControl w:val="false"/>
        <w:spacing w:lineRule="auto" w:line="360" w:before="0" w:after="0"/>
        <w:ind w:left="6379" w:hanging="0"/>
        <w:jc w:val="right"/>
        <w:rPr>
          <w:rFonts w:ascii="Times New Roman" w:hAnsi="Times New Roman" w:eastAsia="Calibri" w:cs="Times New Roman"/>
          <w:b/>
          <w:sz w:val="20"/>
          <w:szCs w:val="20"/>
        </w:rPr>
      </w:pPr>
      <w:r>
        <w:rPr>
          <w:rFonts w:eastAsia="Calibri" w:cs="Times New Roman" w:ascii="Times New Roman" w:hAnsi="Times New Roman"/>
          <w:b/>
          <w:sz w:val="20"/>
          <w:szCs w:val="20"/>
        </w:rPr>
      </w:r>
    </w:p>
    <w:p>
      <w:pPr>
        <w:pStyle w:val="Normal"/>
        <w:numPr>
          <w:ilvl w:val="0"/>
          <w:numId w:val="0"/>
        </w:numPr>
        <w:spacing w:lineRule="auto" w:line="240" w:before="144" w:after="144"/>
        <w:ind w:left="0" w:hanging="0"/>
        <w:jc w:val="center"/>
        <w:outlineLvl w:val="0"/>
        <w:rPr>
          <w:rFonts w:ascii="Times New Roman" w:hAnsi="Times New Roman" w:eastAsia="Calibri" w:cs="Times New Roman"/>
          <w:b/>
          <w:sz w:val="20"/>
          <w:szCs w:val="20"/>
        </w:rPr>
      </w:pPr>
      <w:r>
        <w:rPr>
          <w:rFonts w:eastAsia="Calibri" w:cs="Times New Roman" w:ascii="Times New Roman" w:hAnsi="Times New Roman"/>
          <w:b/>
          <w:sz w:val="20"/>
          <w:szCs w:val="20"/>
        </w:rPr>
        <w:t xml:space="preserve">PROSPEKT INFORMACYJNY </w:t>
      </w:r>
    </w:p>
    <w:p>
      <w:pPr>
        <w:pStyle w:val="Normal"/>
        <w:numPr>
          <w:ilvl w:val="0"/>
          <w:numId w:val="0"/>
        </w:numPr>
        <w:spacing w:lineRule="auto" w:line="240" w:before="60" w:after="60"/>
        <w:ind w:left="0" w:hanging="0"/>
        <w:jc w:val="center"/>
        <w:outlineLvl w:val="0"/>
        <w:rPr>
          <w:rFonts w:ascii="Times New Roman" w:hAnsi="Times New Roman" w:eastAsia="Calibri" w:cs="Times New Roman"/>
          <w:b/>
          <w:sz w:val="20"/>
          <w:szCs w:val="20"/>
        </w:rPr>
      </w:pPr>
      <w:r>
        <w:rPr>
          <w:rFonts w:eastAsia="Calibri" w:cs="Times New Roman" w:ascii="Times New Roman" w:hAnsi="Times New Roman"/>
          <w:b/>
          <w:sz w:val="20"/>
          <w:szCs w:val="20"/>
        </w:rPr>
      </w:r>
    </w:p>
    <w:p>
      <w:pPr>
        <w:pStyle w:val="Normal"/>
        <w:numPr>
          <w:ilvl w:val="0"/>
          <w:numId w:val="0"/>
        </w:numPr>
        <w:spacing w:lineRule="auto" w:line="240" w:before="144" w:after="144"/>
        <w:ind w:left="0" w:hanging="0"/>
        <w:outlineLvl w:val="0"/>
        <w:rPr>
          <w:rFonts w:ascii="Times New Roman" w:hAnsi="Times New Roman" w:eastAsia="Calibri" w:cs="Times New Roman"/>
          <w:b/>
          <w:sz w:val="20"/>
          <w:szCs w:val="20"/>
        </w:rPr>
      </w:pPr>
      <w:r>
        <w:rPr>
          <w:rFonts w:eastAsia="Calibri" w:cs="Times New Roman" w:ascii="Times New Roman" w:hAnsi="Times New Roman"/>
          <w:b/>
          <w:sz w:val="20"/>
          <w:szCs w:val="20"/>
        </w:rPr>
        <w:t>CZĘŚĆ OGÓLNA</w:t>
      </w:r>
    </w:p>
    <w:p>
      <w:pPr>
        <w:pStyle w:val="Normal"/>
        <w:numPr>
          <w:ilvl w:val="0"/>
          <w:numId w:val="0"/>
        </w:numPr>
        <w:spacing w:lineRule="auto" w:line="240" w:before="0" w:after="0"/>
        <w:ind w:left="0" w:hanging="0"/>
        <w:outlineLvl w:val="0"/>
        <w:rPr>
          <w:rFonts w:ascii="Times New Roman" w:hAnsi="Times New Roman" w:eastAsia="Calibri" w:cs="Times New Roman"/>
          <w:b/>
          <w:sz w:val="20"/>
          <w:szCs w:val="20"/>
        </w:rPr>
      </w:pPr>
      <w:r>
        <w:rPr>
          <w:rFonts w:eastAsia="Calibri" w:cs="Times New Roman" w:ascii="Times New Roman" w:hAnsi="Times New Roman"/>
          <w:b/>
          <w:sz w:val="20"/>
          <w:szCs w:val="20"/>
        </w:rPr>
      </w:r>
    </w:p>
    <w:p>
      <w:pPr>
        <w:pStyle w:val="Normal"/>
        <w:widowControl w:val="false"/>
        <w:numPr>
          <w:ilvl w:val="0"/>
          <w:numId w:val="1"/>
        </w:numPr>
        <w:spacing w:lineRule="auto" w:line="240" w:before="0" w:afterAutospacing="1"/>
        <w:ind w:left="1077" w:hanging="72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DANE IDENTYFIKACYJNE I KONTAKTOWE DOTYCZĄCE DEWELOPERA</w:t>
      </w:r>
    </w:p>
    <w:tbl>
      <w:tblPr>
        <w:tblpPr w:bottomFromText="0" w:horzAnchor="margin" w:leftFromText="141" w:rightFromText="141" w:tblpX="0" w:tblpY="50" w:topFromText="0" w:vertAnchor="text"/>
        <w:tblW w:w="9648"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2987"/>
        <w:gridCol w:w="3234"/>
        <w:gridCol w:w="3427"/>
      </w:tblGrid>
      <w:tr>
        <w:trPr/>
        <w:tc>
          <w:tcPr>
            <w:tcW w:w="9648" w:type="dxa"/>
            <w:gridSpan w:val="3"/>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DANE DEWELOPERA</w:t>
            </w:r>
          </w:p>
          <w:p>
            <w:pPr>
              <w:pStyle w:val="Normal"/>
              <w:widowControl w:val="false"/>
              <w:spacing w:lineRule="auto" w:line="240" w:before="144" w:after="144"/>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tc>
      </w:tr>
      <w:tr>
        <w:trPr>
          <w:trHeight w:val="375"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Deweloper</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center"/>
              <w:rPr>
                <w:b/>
                <w:bCs/>
              </w:rPr>
            </w:pPr>
            <w:r>
              <w:rPr>
                <w:rFonts w:eastAsia="Times New Roman" w:cs="Times New Roman" w:ascii="Times New Roman" w:hAnsi="Times New Roman"/>
                <w:b/>
                <w:bCs/>
                <w:sz w:val="20"/>
                <w:szCs w:val="20"/>
              </w:rPr>
              <w:t>Apartamenty Szlachecka Sp. z o.o.</w:t>
            </w:r>
          </w:p>
        </w:tc>
      </w:tr>
      <w:tr>
        <w:trPr>
          <w:trHeight w:val="607"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ul. Nowogrodzka 31, 00-511 Warszawa</w:t>
            </w:r>
          </w:p>
        </w:tc>
      </w:tr>
      <w:tr>
        <w:trPr>
          <w:trHeight w:val="188"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Numer NIP REGON</w:t>
            </w:r>
          </w:p>
        </w:tc>
        <w:tc>
          <w:tcPr>
            <w:tcW w:w="32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NIP: 7011164281</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REGON: 526379908</w:t>
            </w:r>
          </w:p>
        </w:tc>
      </w:tr>
      <w:tr>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Numer telefonu</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500 730 150</w:t>
            </w:r>
          </w:p>
        </w:tc>
      </w:tr>
      <w:tr>
        <w:trPr>
          <w:trHeight w:val="272"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Adres poczty elektronicznej</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apartamentyszlachecka@gmail.com</w:t>
            </w:r>
          </w:p>
        </w:tc>
      </w:tr>
      <w:tr>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Numer faksu</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rHeight w:val="218"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Adres strony internetowej dewelopera</w:t>
            </w:r>
          </w:p>
        </w:tc>
        <w:tc>
          <w:tcPr>
            <w:tcW w:w="66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www.apartamentyszlachecka.pl</w:t>
            </w:r>
          </w:p>
        </w:tc>
      </w:tr>
    </w:tbl>
    <w:p>
      <w:pPr>
        <w:pStyle w:val="Normal"/>
        <w:widowControl w:val="false"/>
        <w:numPr>
          <w:ilvl w:val="0"/>
          <w:numId w:val="1"/>
        </w:numPr>
        <w:spacing w:lineRule="auto" w:line="240" w:before="240" w:afterAutospacing="1"/>
        <w:ind w:left="1077" w:hanging="72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DOŚWIADCZENIE DEWELOPERA</w:t>
      </w:r>
    </w:p>
    <w:tbl>
      <w:tblPr>
        <w:tblpPr w:bottomFromText="0" w:horzAnchor="margin" w:leftFromText="141" w:rightFromText="141" w:tblpX="0" w:tblpY="55" w:topFromText="0" w:vertAnchor="text"/>
        <w:tblW w:w="9648"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9648"/>
      </w:tblGrid>
      <w:tr>
        <w:trPr>
          <w:trHeight w:val="704" w:hRule="atLeast"/>
        </w:trPr>
        <w:tc>
          <w:tcPr>
            <w:tcW w:w="9648"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HISTORIA I UDOKUMENTOWANE DOŚWIADCZENIE DEWELOPERA</w:t>
            </w:r>
          </w:p>
        </w:tc>
      </w:tr>
    </w:tbl>
    <w:tbl>
      <w:tblPr>
        <w:tblW w:w="96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13"/>
        <w:gridCol w:w="6834"/>
      </w:tblGrid>
      <w:tr>
        <w:trPr/>
        <w:tc>
          <w:tcPr>
            <w:tcW w:w="9647" w:type="dxa"/>
            <w:gridSpan w:val="2"/>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PRZYKŁAD UKOŃCZONEGO PRZEDSIĘWZIĘCIA DEWELOPERSKIEGO (należy wskazać, o ile istnieją, trzy ukończone przedsięwzięcia deweloperskie, w tym ostatnie)</w:t>
            </w:r>
          </w:p>
        </w:tc>
      </w:tr>
      <w:tr>
        <w:trPr>
          <w:trHeight w:val="135" w:hRule="atLeast"/>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Adres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Data rozpoczęcia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Data wydania decyzji o pozwoleniu na użytkowanie</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9647" w:type="dxa"/>
            <w:gridSpan w:val="2"/>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PRZYKŁAD INNEGO UKOŃCZONEGO PRZEDSIĘWZIĘCIA DEWELOPERSKIEGO</w:t>
            </w:r>
          </w:p>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35" w:hRule="atLeast"/>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Adres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Data rozpoczęcia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Data wydania decyzji o pozwoleniu na użytkowanie</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9647" w:type="dxa"/>
            <w:gridSpan w:val="2"/>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Autospacing="1" w:afterAutospacing="1"/>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PRZYKŁAD OSTATNIEGO UKOŃCZONEGO PRZEDSIĘWZIĘCIA DEWELOPERSKIEGO</w:t>
            </w:r>
          </w:p>
          <w:p>
            <w:pPr>
              <w:pStyle w:val="Normal"/>
              <w:widowControl w:val="false"/>
              <w:spacing w:lineRule="auto" w:line="240" w:beforeAutospacing="1" w:after="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35" w:hRule="atLeast"/>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Adres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Data rozpoczęcia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Data wydania decyzji o pozwoleniu na użytkowanie</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w:t>
            </w:r>
          </w:p>
        </w:tc>
      </w:tr>
    </w:tbl>
    <w:p>
      <w:pPr>
        <w:pStyle w:val="Normal"/>
        <w:spacing w:lineRule="auto" w:line="240" w:before="144" w:after="144"/>
        <w:jc w:val="both"/>
        <w:rPr>
          <w:rFonts w:ascii="Times New Roman" w:hAnsi="Times New Roman" w:eastAsia="Times New Roman" w:cs="Times New Roman"/>
          <w:b/>
          <w:bCs/>
          <w:sz w:val="16"/>
          <w:szCs w:val="20"/>
        </w:rPr>
      </w:pPr>
      <w:r>
        <w:rPr>
          <w:rFonts w:eastAsia="Times New Roman" w:cs="Times New Roman" w:ascii="Times New Roman" w:hAnsi="Times New Roman"/>
          <w:b/>
          <w:bCs/>
          <w:sz w:val="16"/>
          <w:szCs w:val="20"/>
        </w:rPr>
      </w:r>
    </w:p>
    <w:tbl>
      <w:tblPr>
        <w:tblW w:w="96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05"/>
        <w:gridCol w:w="6842"/>
      </w:tblGrid>
      <w:tr>
        <w:trPr/>
        <w:tc>
          <w:tcPr>
            <w:tcW w:w="2805"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sz w:val="20"/>
                <w:szCs w:val="20"/>
              </w:rPr>
              <w:t>Czy przeciwko deweloperowi prowadzono lub prowadzi się postępowania egzekucyjne na kwotę powyżej 100 000 zł</w:t>
            </w:r>
          </w:p>
        </w:tc>
        <w:tc>
          <w:tcPr>
            <w:tcW w:w="6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nie</w:t>
            </w:r>
          </w:p>
        </w:tc>
      </w:tr>
    </w:tbl>
    <w:p>
      <w:pPr>
        <w:pStyle w:val="Normal"/>
        <w:spacing w:lineRule="auto" w:line="240" w:before="144" w:after="0"/>
        <w:jc w:val="both"/>
        <w:rPr>
          <w:rFonts w:ascii="Times New Roman" w:hAnsi="Times New Roman" w:eastAsia="Times New Roman" w:cs="Times New Roman"/>
          <w:b/>
          <w:bCs/>
          <w:sz w:val="16"/>
          <w:szCs w:val="20"/>
        </w:rPr>
      </w:pPr>
      <w:r>
        <w:rPr>
          <w:rFonts w:eastAsia="Times New Roman" w:cs="Times New Roman" w:ascii="Times New Roman" w:hAnsi="Times New Roman"/>
          <w:b/>
          <w:bCs/>
          <w:sz w:val="16"/>
          <w:szCs w:val="20"/>
        </w:rPr>
      </w:r>
    </w:p>
    <w:p>
      <w:pPr>
        <w:pStyle w:val="Normal"/>
        <w:widowControl w:val="false"/>
        <w:numPr>
          <w:ilvl w:val="0"/>
          <w:numId w:val="2"/>
        </w:numPr>
        <w:spacing w:lineRule="auto" w:line="240" w:beforeAutospacing="1" w:after="120"/>
        <w:ind w:left="1077" w:hanging="72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INFORMACJE DOTYCZĄCE NIERUCHOMOŚCI I PRZEDSIĘWZIĘCIA DEWELOPERSKIEGO</w:t>
      </w:r>
    </w:p>
    <w:tbl>
      <w:tblPr>
        <w:tblW w:w="96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10"/>
        <w:gridCol w:w="3411"/>
        <w:gridCol w:w="3427"/>
      </w:tblGrid>
      <w:tr>
        <w:trPr/>
        <w:tc>
          <w:tcPr>
            <w:tcW w:w="9648" w:type="dxa"/>
            <w:gridSpan w:val="3"/>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rPr>
                <w:rFonts w:ascii="Times New Roman" w:hAnsi="Times New Roman" w:eastAsia="Times New Roman" w:cs="Times New Roman"/>
                <w:b/>
                <w:sz w:val="20"/>
                <w:szCs w:val="20"/>
              </w:rPr>
            </w:pPr>
            <w:r>
              <w:rPr>
                <w:rFonts w:eastAsia="Times New Roman" w:cs="Times New Roman" w:ascii="Times New Roman" w:hAnsi="Times New Roman"/>
                <w:b/>
                <w:sz w:val="20"/>
                <w:szCs w:val="20"/>
              </w:rPr>
              <w:t>INFORMACJE DOTYCZĄCE GRUNTU I ZAGOSPODAROWANIA PRZESTRZENNEGO TERENU</w:t>
            </w:r>
          </w:p>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3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Adres i numer działki ewidencyjnej i obrębu</w:t>
            </w:r>
            <w:r>
              <w:rPr>
                <w:rStyle w:val="Zakotwiczenieprzypisudolnego"/>
                <w:rFonts w:eastAsia="Times New Roman" w:ascii="Times New Roman" w:hAnsi="Times New Roman"/>
                <w:sz w:val="20"/>
                <w:szCs w:val="20"/>
              </w:rPr>
              <w:footnoteReference w:customMarkFollows="1" w:id="2"/>
              <w:t>1)</w:t>
            </w:r>
            <w:r>
              <w:rPr>
                <w:rFonts w:eastAsia="Times New Roman" w:ascii="Times New Roman" w:hAnsi="Times New Roman"/>
                <w:sz w:val="20"/>
                <w:szCs w:val="20"/>
              </w:rPr>
              <w:t>1)1)1)1)1)1)1)1)1)1)</w:t>
            </w:r>
            <w:r>
              <w:rPr>
                <w:rFonts w:eastAsia="Times New Roman" w:cs="Times New Roman" w:ascii="Times New Roman" w:hAnsi="Times New Roman"/>
                <w:sz w:val="20"/>
                <w:szCs w:val="20"/>
                <w:vertAlign w:val="superscript"/>
              </w:rPr>
              <w:t>1)1)1)1)1)</w:t>
            </w:r>
          </w:p>
        </w:tc>
        <w:tc>
          <w:tcPr>
            <w:tcW w:w="68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18-400 Łomża, ul. Szlachecka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Dz. Ew. Nr. 12710, obręb 0001 Łomża</w:t>
            </w:r>
          </w:p>
        </w:tc>
      </w:tr>
      <w:tr>
        <w:trPr>
          <w:trHeight w:val="9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Numer księgi wieczystej </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LM1L/00095277/4</w:t>
            </w:r>
          </w:p>
        </w:tc>
      </w:tr>
      <w:tr>
        <w:trPr>
          <w:trHeight w:val="9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Istniejące obciążenia hipoteczne nieruchomości lub wnioski o wpis w dziale czwartym księgi wieczystej</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cs="Times New Roman" w:ascii="Times New Roman" w:hAnsi="Times New Roman"/>
                <w:color w:val="000000"/>
                <w:sz w:val="20"/>
                <w:szCs w:val="20"/>
              </w:rPr>
              <w:t>Hipoteka umowna w wysokości 560 000,00 zł na rzecz PODLASKIEGO FUNDUSZU ROZWOJU SPÓŁKA Z OGRANICZONĄ ODPOWIEDZIALNOŚCIĄ wynikająca z tytułu pożyczki nr UPO/73/08/2024  z dnia 07.08.2024r</w:t>
            </w:r>
          </w:p>
        </w:tc>
      </w:tr>
      <w:tr>
        <w:trPr>
          <w:trHeight w:val="97"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przypadku braku księgi wieczystej informacja o powierzchni działki i stanie prawnym nieruchomości</w:t>
            </w:r>
            <w:r>
              <w:rPr>
                <w:rStyle w:val="Zakotwiczenieprzypisudolnego"/>
                <w:rFonts w:eastAsia="Times New Roman" w:ascii="Times New Roman" w:hAnsi="Times New Roman"/>
                <w:sz w:val="20"/>
                <w:szCs w:val="20"/>
              </w:rPr>
              <w:footnoteReference w:customMarkFollows="1" w:id="3"/>
              <w:t>2)</w:t>
            </w:r>
            <w:r>
              <w:rPr>
                <w:rFonts w:eastAsia="Times New Roman" w:ascii="Times New Roman" w:hAnsi="Times New Roman"/>
                <w:sz w:val="20"/>
                <w:szCs w:val="20"/>
              </w:rPr>
              <w:t>2)2)2)2)2)2)2)2)2)2)</w:t>
            </w:r>
            <w:r>
              <w:rPr>
                <w:rFonts w:eastAsia="Times New Roman" w:cs="Times New Roman" w:ascii="Times New Roman" w:hAnsi="Times New Roman"/>
                <w:sz w:val="20"/>
                <w:szCs w:val="20"/>
                <w:vertAlign w:val="superscript"/>
              </w:rPr>
              <w:t>2)2)2)2)2)</w:t>
            </w:r>
            <w:r>
              <w:rPr>
                <w:rFonts w:eastAsia="Times New Roman" w:cs="Times New Roman" w:ascii="Times New Roman" w:hAnsi="Times New Roman"/>
                <w:sz w:val="20"/>
                <w:szCs w:val="20"/>
              </w:rPr>
              <w:t xml:space="preserve"> </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97"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Informacje dotyczące obiektów istniejących położonych w sąsiedztwie inwestycji i wpływających na warunki życia</w:t>
            </w:r>
            <w:r>
              <w:rPr>
                <w:rStyle w:val="Zakotwiczenieprzypisudolnego"/>
                <w:rFonts w:eastAsia="Times New Roman" w:ascii="Times New Roman" w:hAnsi="Times New Roman"/>
                <w:sz w:val="20"/>
                <w:szCs w:val="20"/>
              </w:rPr>
              <w:footnoteReference w:customMarkFollows="1" w:id="4"/>
              <w:t>3)</w:t>
            </w:r>
            <w:r>
              <w:rPr>
                <w:rFonts w:eastAsia="Times New Roman" w:ascii="Times New Roman" w:hAnsi="Times New Roman"/>
                <w:sz w:val="20"/>
                <w:szCs w:val="20"/>
              </w:rPr>
              <w:t>3)3)3)3)3)3)3)3)3)3)</w:t>
            </w:r>
            <w:r>
              <w:rPr>
                <w:rFonts w:eastAsia="Times New Roman" w:cs="Times New Roman" w:ascii="Times New Roman" w:hAnsi="Times New Roman"/>
                <w:sz w:val="20"/>
                <w:szCs w:val="20"/>
                <w:vertAlign w:val="superscript"/>
              </w:rPr>
              <w:t>3)3)3)3)3)</w:t>
            </w:r>
            <w:r>
              <w:rPr>
                <w:rFonts w:eastAsia="Times New Roman" w:cs="Times New Roman" w:ascii="Times New Roman" w:hAnsi="Times New Roman"/>
                <w:sz w:val="20"/>
                <w:szCs w:val="20"/>
              </w:rPr>
              <w:t xml:space="preserve"> </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eastAsia="Times New Roman" w:cs="Times New Roman" w:ascii="Times New Roman" w:hAnsi="Times New Roman"/>
                <w:sz w:val="20"/>
                <w:szCs w:val="20"/>
              </w:rPr>
              <w:t>Tereny sąsiadujące z terenem inwestycji należą do kategorii terenów zabudowy mieszkaniowej o niskiej intensywności z usługami oraz zieleni parkowej. Brak istniejących obiektów czy inwestycj</w:t>
            </w:r>
            <w:r>
              <w:rPr>
                <w:rFonts w:eastAsia="Times New Roman" w:cs="Times New Roman" w:ascii="Times New Roman" w:hAnsi="Times New Roman"/>
                <w:color w:val="000000"/>
                <w:sz w:val="20"/>
                <w:szCs w:val="20"/>
              </w:rPr>
              <w:t xml:space="preserve">i wpływających na warunki życia tj. obiekty generujące uciążliwości zapachowe, hałasowe, świetlne. Według publicznie dostępnych dokumentów wyżej wymienione inwestycje nie są planowane w najbliższej okolicy.  </w:t>
            </w:r>
          </w:p>
        </w:tc>
      </w:tr>
      <w:tr>
        <w:trPr>
          <w:trHeight w:val="320"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t>Akty planowania przestrzennego i inne akty prawne na podstawie przepisów odrębnych na terenie objętym przedsięwzięciem deweloperskim lub zadaniem inwestycyjnym</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 </w:t>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Ramowe studium uwarunkowań i kierunków zagospodarowania przestrzennego związku metropolitalnego</w:t>
            </w:r>
          </w:p>
        </w:tc>
        <w:tc>
          <w:tcPr>
            <w:tcW w:w="342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eastAsia="Times New Roman" w:cs="Times New Roman" w:ascii="Times New Roman" w:hAnsi="Times New Roman"/>
                <w:b/>
                <w:bCs/>
                <w:sz w:val="20"/>
                <w:szCs w:val="20"/>
                <w:lang w:eastAsia="pl-PL"/>
              </w:rPr>
              <w:t>UCHWAŁA NR 223/XXVIII/16</w:t>
              <w:br/>
              <w:t>z dnia: 6 lipca 2016 r.</w:t>
            </w:r>
            <w:r>
              <w:rPr>
                <w:rFonts w:eastAsia="Times New Roman" w:cs="Times New Roman" w:ascii="Times New Roman" w:hAnsi="Times New Roman"/>
                <w:sz w:val="20"/>
                <w:szCs w:val="20"/>
                <w:lang w:eastAsia="pl-PL"/>
              </w:rPr>
              <w:t xml:space="preserve"> w sprawie: w sprawie Studium uwarunkowań i kierunków zagospodarowania przestrzennego miasta Łomża, link do uchwały:</w:t>
            </w:r>
          </w:p>
          <w:p>
            <w:pPr>
              <w:pStyle w:val="Normal"/>
              <w:widowControl w:val="false"/>
              <w:spacing w:lineRule="auto" w:line="240" w:before="144" w:after="144"/>
              <w:jc w:val="both"/>
              <w:rPr/>
            </w:pPr>
            <w:r>
              <w:rPr>
                <w:rFonts w:eastAsia="Times New Roman" w:cs="Times New Roman" w:ascii="Times New Roman" w:hAnsi="Times New Roman"/>
                <w:sz w:val="20"/>
                <w:szCs w:val="20"/>
                <w:lang w:eastAsia="pl-PL"/>
              </w:rPr>
              <w:t>http://www.lomza.pl/bip/prawo.php?wiad=5676</w:t>
            </w:r>
          </w:p>
          <w:p>
            <w:pPr>
              <w:pStyle w:val="Normal"/>
              <w:widowControl w:val="false"/>
              <w:spacing w:lineRule="auto" w:line="240" w:before="144" w:after="144"/>
              <w:jc w:val="both"/>
              <w:rPr>
                <w:b/>
                <w:bCs/>
                <w:sz w:val="20"/>
                <w:szCs w:val="20"/>
              </w:rPr>
            </w:pPr>
            <w:r>
              <w:rPr>
                <w:rFonts w:eastAsia="Times New Roman" w:cs="Times New Roman" w:ascii="Times New Roman" w:hAnsi="Times New Roman"/>
                <w:b/>
                <w:bCs/>
                <w:sz w:val="20"/>
                <w:szCs w:val="20"/>
                <w:lang w:eastAsia="pl-PL"/>
              </w:rPr>
              <w:t>Tereny zabudowy mieszkaniowej o niskiej intensywności z usługami</w:t>
            </w:r>
          </w:p>
          <w:p>
            <w:pPr>
              <w:pStyle w:val="Normal"/>
              <w:widowControl w:val="false"/>
              <w:spacing w:lineRule="auto" w:line="240" w:before="144" w:after="144"/>
              <w:jc w:val="both"/>
              <w:rPr>
                <w:rFonts w:ascii="Times New Roman" w:hAnsi="Times New Roman"/>
                <w:sz w:val="20"/>
                <w:szCs w:val="20"/>
              </w:rPr>
            </w:pPr>
            <w:r>
              <w:rPr>
                <w:rFonts w:ascii="Times New Roman" w:hAnsi="Times New Roman"/>
                <w:sz w:val="20"/>
                <w:szCs w:val="20"/>
              </w:rPr>
              <w:t xml:space="preserve">Teren oznaczony symbolem: </w:t>
            </w:r>
            <w:r>
              <w:rPr>
                <w:rFonts w:ascii="Times New Roman" w:hAnsi="Times New Roman"/>
                <w:b/>
                <w:bCs/>
                <w:sz w:val="20"/>
                <w:szCs w:val="20"/>
              </w:rPr>
              <w:t>4 MN-U</w:t>
            </w:r>
          </w:p>
          <w:p>
            <w:pPr>
              <w:pStyle w:val="Normal"/>
              <w:widowControl w:val="false"/>
              <w:spacing w:lineRule="auto" w:line="240" w:before="144" w:after="144"/>
              <w:jc w:val="both"/>
              <w:rPr>
                <w:sz w:val="20"/>
                <w:szCs w:val="20"/>
              </w:rPr>
            </w:pPr>
            <w:r>
              <w:rPr>
                <w:rFonts w:eastAsia="Times New Roman" w:cs="Times New Roman" w:ascii="Times New Roman" w:hAnsi="Times New Roman"/>
                <w:b/>
                <w:bCs/>
                <w:sz w:val="20"/>
                <w:szCs w:val="20"/>
                <w:lang w:eastAsia="pl-PL"/>
              </w:rPr>
              <w:t xml:space="preserve">Uchwała Nr 53/XVI/03 z dnia 2003-06-18 </w:t>
            </w:r>
            <w:r>
              <w:rPr>
                <w:rFonts w:eastAsia="Times New Roman" w:cs="Times New Roman" w:ascii="Times New Roman" w:hAnsi="Times New Roman"/>
                <w:sz w:val="20"/>
                <w:szCs w:val="20"/>
                <w:lang w:eastAsia="pl-PL"/>
              </w:rPr>
              <w:t>w sprawie: zatwierdzenia miejscowego planu zagospodarowania przestrzennego miasta Łomży w części dotyczącej terenów położonych pomiędzy ulicami: Zawadzka, Sikorskiego, Szosa Zambrowska i terenami zabudowy mieszkaniowej wielorodzinnej – Obszar P5</w:t>
            </w:r>
          </w:p>
          <w:p>
            <w:pPr>
              <w:pStyle w:val="Normal"/>
              <w:widowControl w:val="false"/>
              <w:spacing w:lineRule="auto" w:line="240" w:before="144" w:after="144"/>
              <w:jc w:val="both"/>
              <w:rPr>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2">
              <w:r>
                <w:rPr>
                  <w:rStyle w:val="Czeinternetowe"/>
                  <w:rFonts w:eastAsia="Times New Roman" w:cs="Times New Roman" w:ascii="Times New Roman" w:hAnsi="Times New Roman"/>
                  <w:sz w:val="20"/>
                  <w:szCs w:val="20"/>
                  <w:lang w:eastAsia="pl-PL"/>
                </w:rPr>
                <w:t>https://mlomza.e-mapa.net/</w:t>
              </w:r>
            </w:hyperlink>
          </w:p>
          <w:p>
            <w:pPr>
              <w:pStyle w:val="Normal"/>
              <w:widowControl w:val="false"/>
              <w:spacing w:lineRule="auto" w:line="240" w:before="144" w:after="144"/>
              <w:jc w:val="both"/>
              <w:rPr>
                <w:sz w:val="20"/>
                <w:szCs w:val="20"/>
              </w:rPr>
            </w:pPr>
            <w:r>
              <w:rPr>
                <w:rFonts w:eastAsia="Times New Roman" w:cs="Times New Roman" w:ascii="Times New Roman" w:hAnsi="Times New Roman"/>
                <w:sz w:val="20"/>
                <w:szCs w:val="20"/>
                <w:lang w:eastAsia="pl-PL"/>
              </w:rPr>
              <w:t>Link do uchwały w sprawie zatwierdzenia miejscowego planu zagospodarowania przestrzennego miasta Łomży:</w:t>
            </w:r>
          </w:p>
          <w:p>
            <w:pPr>
              <w:pStyle w:val="Normal"/>
              <w:widowControl w:val="false"/>
              <w:spacing w:lineRule="auto" w:line="240" w:before="144" w:after="144"/>
              <w:jc w:val="both"/>
              <w:rPr>
                <w:sz w:val="20"/>
                <w:szCs w:val="20"/>
              </w:rPr>
            </w:pPr>
            <w:r>
              <w:rPr>
                <w:rFonts w:eastAsia="Times New Roman" w:cs="Times New Roman" w:ascii="Times New Roman" w:hAnsi="Times New Roman"/>
                <w:sz w:val="20"/>
                <w:szCs w:val="20"/>
                <w:lang w:eastAsia="pl-PL"/>
              </w:rPr>
              <w:t>http://www.lomza.pl/bip/prawo.php?wiad=56</w:t>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Studium uwarunkowań i kierunków zagospodarowania przestrzennego gminy</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Miejscowy plan zagospodarowania przestrzennego</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Miejscowy plan rewitalizacji</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Miejscowy plan odbudowy </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Inne</w:t>
            </w:r>
            <w:r>
              <w:rPr>
                <w:rStyle w:val="Zakotwiczenieprzypisudolnego"/>
                <w:rFonts w:eastAsia="Times New Roman" w:ascii="Times New Roman" w:hAnsi="Times New Roman"/>
                <w:sz w:val="20"/>
                <w:szCs w:val="20"/>
                <w:lang w:eastAsia="pl-PL"/>
              </w:rPr>
              <w:footnoteReference w:customMarkFollows="1" w:id="5"/>
              <w:t>4)</w:t>
            </w:r>
            <w:r>
              <w:rPr>
                <w:rFonts w:eastAsia="Times New Roman" w:ascii="Times New Roman" w:hAnsi="Times New Roman"/>
                <w:sz w:val="20"/>
                <w:szCs w:val="20"/>
                <w:lang w:eastAsia="pl-PL"/>
              </w:rPr>
              <w:t>4)4)4)4)4)4)4)4)4)4)</w:t>
            </w:r>
            <w:r>
              <w:rPr>
                <w:rFonts w:eastAsia="Times New Roman" w:cs="Times New Roman" w:ascii="Times New Roman" w:hAnsi="Times New Roman"/>
                <w:sz w:val="20"/>
                <w:szCs w:val="20"/>
                <w:vertAlign w:val="superscript"/>
                <w:lang w:eastAsia="pl-PL"/>
              </w:rPr>
              <w:t>4)4)4)4)4)</w:t>
            </w:r>
            <w:r>
              <w:rPr>
                <w:rFonts w:eastAsia="Times New Roman" w:cs="Times New Roman" w:ascii="Times New Roman" w:hAnsi="Times New Roman"/>
                <w:sz w:val="20"/>
                <w:szCs w:val="20"/>
                <w:lang w:eastAsia="pl-PL"/>
              </w:rPr>
              <w:t xml:space="preserve"> </w:t>
            </w:r>
          </w:p>
        </w:tc>
        <w:tc>
          <w:tcPr>
            <w:tcW w:w="34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60"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Ustalenia obowiązującego miejscowego planu zagospodarowania przestrzennego dla terenu objętego przedsięwzięciem deweloperskim lub zadaniem inwestycyjnym</w:t>
            </w:r>
            <w:r>
              <w:rPr>
                <w:rFonts w:eastAsia="Times New Roman" w:cs="Times New Roman" w:ascii="Times New Roman" w:hAnsi="Times New Roman"/>
                <w:sz w:val="20"/>
                <w:szCs w:val="20"/>
              </w:rPr>
              <w:t xml:space="preserve"> </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Przeznaczenie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Przeznaczenie podstawowe pod zabudowę mieszkaniową. </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Maksymalna i minimalna intensywność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DANYCH</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Maksymalna wysokość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hyperlink r:id="rId3">
              <w:r>
                <w:rPr>
                  <w:rFonts w:eastAsia="Times New Roman" w:cs="Times New Roman" w:ascii="Times New Roman" w:hAnsi="Times New Roman"/>
                  <w:sz w:val="20"/>
                  <w:szCs w:val="20"/>
                </w:rPr>
                <w:t>Wysokość budynków 3 kondygnacje, w tym ostatnia jako poddasze użytkowe.</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Ustalenia szczegółowe miejscowego planu zagospodarowania przetrzennego:</w:t>
            </w:r>
          </w:p>
          <w:p>
            <w:pPr>
              <w:pStyle w:val="Normal"/>
              <w:widowControl w:val="false"/>
              <w:spacing w:lineRule="auto" w:line="240" w:before="144" w:after="144"/>
              <w:jc w:val="both"/>
              <w:rPr>
                <w:rFonts w:ascii="Times New Roman" w:hAnsi="Times New Roman" w:eastAsia="Times New Roman" w:cs="Times New Roman"/>
                <w:sz w:val="20"/>
                <w:szCs w:val="20"/>
              </w:rPr>
            </w:pPr>
            <w:hyperlink r:id="rId4">
              <w:r>
                <w:rPr>
                  <w:rStyle w:val="Czeinternetowe"/>
                  <w:rFonts w:eastAsia="Times New Roman" w:cs="Times New Roman" w:ascii="Times New Roman" w:hAnsi="Times New Roman"/>
                  <w:sz w:val="20"/>
                  <w:szCs w:val="20"/>
                </w:rPr>
                <w:t>https://mlomza.e-mapa.net/?service=pln&amp;request=getUstaleniaSzczegolowe&amp;p=7&amp;n=MN-U</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http://www.lomza.pl/bip/prawo.php?wiad=56</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Minimalny udział procentowy powierzchni biologicznie czynnej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color w:val="000000"/>
                <w:sz w:val="20"/>
                <w:szCs w:val="20"/>
                <w:u w:val="none"/>
              </w:rPr>
              <w:t>B</w:t>
            </w:r>
            <w:r>
              <w:rPr>
                <w:rFonts w:eastAsia="Times New Roman" w:cs="Times New Roman" w:ascii="Times New Roman" w:hAnsi="Times New Roman"/>
                <w:sz w:val="20"/>
                <w:szCs w:val="20"/>
              </w:rPr>
              <w:t>RAK DANYCH</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Minimalna liczba miejsc do parkowania</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System parkowania poprzez realizację miejsc postojowych wg standardu: 1 stanowisko / mieszkanie. </w:t>
            </w:r>
          </w:p>
          <w:p>
            <w:pPr>
              <w:pStyle w:val="Normal"/>
              <w:widowControl w:val="false"/>
              <w:spacing w:lineRule="auto" w:line="240" w:before="144" w:after="144"/>
              <w:jc w:val="both"/>
              <w:rPr>
                <w:rFonts w:ascii="Times New Roman" w:hAnsi="Times New Roman" w:eastAsia="Times New Roman" w:cs="Times New Roman"/>
                <w:sz w:val="20"/>
                <w:szCs w:val="20"/>
              </w:rPr>
            </w:pPr>
            <w:hyperlink r:id="rId5">
              <w:r>
                <w:rPr>
                  <w:rStyle w:val="Czeinternetowe"/>
                  <w:rFonts w:eastAsia="Times New Roman" w:cs="Times New Roman" w:ascii="Times New Roman" w:hAnsi="Times New Roman"/>
                  <w:sz w:val="20"/>
                  <w:szCs w:val="20"/>
                </w:rPr>
                <w:t>https://mlomza.e-mapa.net/?service=pln&amp;request=getUstaleniaSzczegolowe&amp;p=7&amp;n=MN-U</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http://www.lomza.pl/bip/prawo.php?wiad=56</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ochrony środowiska i zdrowia ludzi, przyrody i krajobrazu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DANYCH</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Wymagania dotyczące zabudowy i zagospodarowania terenu położonego na obszarach szczególnego zagrożenia powodzią</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ochrony dziedzictwa kulturowego i zabytków oraz dóbr kultury współczesnej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Wymagania dotyczące ochrony innych terenów lub obiektów podlegających ochronie na podstawie przepisów odrębnych</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i szczegółowe zasady obsługi w zakresie komunikacji</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Obsługa komunikacyjna z istniejących i projektowanych dróg dojazdowych. </w:t>
            </w:r>
          </w:p>
          <w:p>
            <w:pPr>
              <w:pStyle w:val="Normal"/>
              <w:widowControl w:val="false"/>
              <w:spacing w:lineRule="auto" w:line="240" w:before="144" w:after="144"/>
              <w:jc w:val="both"/>
              <w:rPr>
                <w:rFonts w:ascii="Times New Roman" w:hAnsi="Times New Roman" w:eastAsia="Times New Roman" w:cs="Times New Roman"/>
                <w:sz w:val="20"/>
                <w:szCs w:val="20"/>
              </w:rPr>
            </w:pPr>
            <w:hyperlink r:id="rId6">
              <w:r>
                <w:rPr>
                  <w:rStyle w:val="Czeinternetowe"/>
                  <w:rFonts w:eastAsia="Times New Roman" w:cs="Times New Roman" w:ascii="Times New Roman" w:hAnsi="Times New Roman"/>
                  <w:sz w:val="20"/>
                  <w:szCs w:val="20"/>
                </w:rPr>
                <w:t>https://mlomza.e-mapa.net/?service=pln&amp;request=getUstaleniaSzczegolowe&amp;p=7&amp;n=MN-U</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http://www.lomza.pl/bip/prawo.php?wiad=56</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i szczegółowe zasady obsługi w zakresie infrastruktury technicznej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Zakłada się uzbrojenie terenu objętego planem w następujące sieci wraz z niezbędnymi urządzeniami:</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sieci wodociągowej z urządzeniami ppoż.;</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sieci kanalizacji sanitarnej i deszczowej;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sieci gazowej dla potrzeb bytowo-socjalnych oraz celów grzewczych;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 sieci energetycznej;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 sieci telefonicznej;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innego uzbrojenia, jeśli zaistnieje taka konieczność.</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Ustala się następujące zasady uzbrojenia technicznego: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zaopatrzenie w wodę zostało zaprojektowane poprzez jedno włączenie do magistralnej sieci wodociągowej w ul. Szosa Zambrowska oraz dwa włączenia do sieci w ul. Księżnej Anny. Istniejący wodociąg rozdzielczy (biegnący po działkach) wzdłuż ul. Szosa Zambrowska zostanie przebudowany i usytuowany w poboczu drogi, równolegle do magistrali wodociągowej. Sieć wodociągowa we wszystkich projektowanych ciągach ulicznych została usytuowana w pasie chodnika,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odprowadzenie ścieków sanitarnych z ul. Szosa Zambrowska zostało zaprojektowane w układzie grawitacyjno - pompowym poprzez przepompownię z odprowadzeniem do kanału sanitarnego w ul. Sikorskiego. Do projektowanego kanału 0,2 m w ul. Szosa Zambrowska zostaną kierowane ścieki kanałem w ulicy 01 KD oraz z części zabudowy SBM "Jedność". Z pozostałej części terenu ścieki sanitarne zostaną odprowadzane grawitacyjnie poprzez projektowany system kanałów sanitarnych, zgodnie ze spadkiem te-renu, do kanału sanitarnego w ul. Zawadzkiej (z przejściem przez teren oznaczony symbolem UC). Projektowane kanały sanitarne prowadzone są w pasie jezdni projekto-wanych dróg,</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odprowadzenie ścieków deszczowych w ul. Szosa Zambrowska zostało zaprojektowane w pasie jezdni, kanałem o średnicy 0,6 m, z odprowadzeniem do istniejącego kanału deszczowego w ul. Sikorskiego. Z części drogi 01 KD, ścieki deszczowe będą odprowadzane do projektowanego kanału w ul. Szosa Zambrowska. Natomiast z pozostałej części drogi 01 KD (zgodnie ze spadkiem terenu) ścieki deszczowe będą odprowadzane do istniejącego kanału w ul. Księżnej Anny. Z pozostałej części terenu ścieki deszczowe zostaną odprowadzone poprzez projektowany system kanalizacji deszczowej do istniejącego kanału w ul. Zawadzkiej. Kanały deszczowe zostały zlokalizowane jezdniach w projektowanych ciągów drogowych,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 zaopatrzenie w gaz zostało zaprojektowane poprzez jedno włączenie do istniejącej sieci gazowej w ul. Szosa Zambrowska (z możliwością wykonania drugiego włączenia). Sieć gazowa średniego ciśnienia została usytuowana w ciągach drogowych. Projektowana sieć gazowa została usytuowana w pasie chodnika po stronie przewidywanej sieci wodociągowej,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 zaopatrzenie w energię cieplną z istniejącej sieci cieplnej poprzez węzły indywidualne lub grupowe, alternatywnie z kotłowni własnych na paliwo proekologiczne (olej opałowy, gaz lub energię elektryczną),</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zaopatrzenie w energię elektryczną:</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poprzez budowę odpowiedniej ilości nowych stacji transformatorowych 15/0,4 kV wraz z liniami kablowymi 15 kV oraz kablowo-napowietrznymi nn,</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 budowę oświetlenia ulicznego,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 demontaż odcinka linii 15 kV kolidującej z projektowaną zabudową oraz budowę zastępczych linii kablowych,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 nie dopuszcza się cząstkowych przebudów kolidującej linii napowietrznej 15 kV,</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 warunki techniczne określi Rejon Energetyczny,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 ustala się obowiązek udostępnienia terenu pod budowę infrastruktury energetycznej,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 rozbudowa systemu telekomunikacji, stosownie do potrzeb obejmuje modernizację</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 budowę sieci abonenckich, z dopuszczeniem różnych operatorów, a także rozbudowę sieci ogólnodostępnych automatów telefonicznych, ustala się obowiązek stosowania przewodów podziemnych,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8) w zakresie usuwania odpadów komunalnych ustala się:</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usuwanie odpadów za pośrednictwem wyspecjalizowanych służb;</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 dopuszcza się wyznaczenie wspólnego dla kilku obiektów budowlanych lub działek miejsca na pojemniki do wstępnej selekcji odpadów, pod warunkiem zapewnienia dostępu z terenów komunikacji publicznej.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Dopuszcza się budowę budowli i urządzeń technicznych oraz prowadzenie sieciowych elementów infrastruktury technicznej poza terenami ulic.</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Ustalenia szczegółowe miejscowego planu zagospodarowania przetrzennego:</w:t>
            </w:r>
          </w:p>
          <w:p>
            <w:pPr>
              <w:pStyle w:val="Normal"/>
              <w:widowControl w:val="false"/>
              <w:spacing w:lineRule="auto" w:line="240" w:before="144" w:after="144"/>
              <w:jc w:val="both"/>
              <w:rPr>
                <w:rFonts w:ascii="Times New Roman" w:hAnsi="Times New Roman" w:eastAsia="Times New Roman" w:cs="Times New Roman"/>
                <w:sz w:val="20"/>
                <w:szCs w:val="20"/>
              </w:rPr>
            </w:pPr>
            <w:hyperlink r:id="rId7">
              <w:r>
                <w:rPr>
                  <w:rStyle w:val="Czeinternetowe"/>
                  <w:rFonts w:eastAsia="Times New Roman" w:cs="Times New Roman" w:ascii="Times New Roman" w:hAnsi="Times New Roman"/>
                  <w:sz w:val="20"/>
                  <w:szCs w:val="20"/>
                </w:rPr>
                <w:t>https://mlomza.e-mapa.net/?service=pln&amp;request=getUstaleniaSzczegolowe&amp;p=7&amp;n=MN-U</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http://www.lomza.pl/bip/prawo.php?wiad=56</w:t>
            </w:r>
          </w:p>
        </w:tc>
      </w:tr>
      <w:tr>
        <w:trPr>
          <w:trHeight w:val="288"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Ustalenia obowiązującego miejscowego planu zagospodarowania przestrzennego dla działek lub ich fragmentów, znajdujących się w odległości do 100 m od granicy terenu objętego przedsięwzięciem deweloperskim lub zadaniem inwestycyjnym</w:t>
            </w:r>
            <w:r>
              <w:rPr>
                <w:rStyle w:val="Zakotwiczenieprzypisudolnego"/>
                <w:rFonts w:eastAsia="Times New Roman" w:ascii="Times New Roman" w:hAnsi="Times New Roman"/>
                <w:sz w:val="20"/>
                <w:szCs w:val="20"/>
                <w:lang w:eastAsia="pl-PL"/>
              </w:rPr>
              <w:footnoteReference w:customMarkFollows="1" w:id="6"/>
              <w:t>*</w:t>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Przeznaczenie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Tereny oznaczone symbolami </w:t>
            </w:r>
            <w:r>
              <w:rPr>
                <w:rFonts w:eastAsia="Times New Roman" w:cs="Times New Roman" w:ascii="Times New Roman" w:hAnsi="Times New Roman"/>
                <w:b/>
                <w:bCs/>
                <w:sz w:val="20"/>
                <w:szCs w:val="20"/>
              </w:rPr>
              <w:t xml:space="preserve">3 MN-U, 2 MN-UI, 2 MN-UI,  5 MN-U: </w:t>
            </w:r>
            <w:r>
              <w:rPr>
                <w:rFonts w:eastAsia="Times New Roman" w:cs="Times New Roman" w:ascii="Times New Roman" w:hAnsi="Times New Roman"/>
                <w:sz w:val="20"/>
                <w:szCs w:val="20"/>
              </w:rPr>
              <w:t>Tereny zabudowy mieszkaniowej o niskiej intensywności z usługami</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Tereny oznaczone symbolami:  </w:t>
            </w:r>
            <w:r>
              <w:rPr>
                <w:rFonts w:eastAsia="Times New Roman" w:cs="Times New Roman" w:ascii="Times New Roman" w:hAnsi="Times New Roman"/>
                <w:b/>
                <w:bCs/>
                <w:sz w:val="20"/>
                <w:szCs w:val="20"/>
              </w:rPr>
              <w:t>6 MS-U</w:t>
            </w:r>
            <w:r>
              <w:rPr>
                <w:rFonts w:eastAsia="Times New Roman" w:cs="Times New Roman" w:ascii="Times New Roman" w:hAnsi="Times New Roman"/>
                <w:sz w:val="20"/>
                <w:szCs w:val="20"/>
              </w:rPr>
              <w:t xml:space="preserve">, </w:t>
            </w:r>
            <w:r>
              <w:rPr>
                <w:rFonts w:eastAsia="Times New Roman" w:cs="Times New Roman" w:ascii="Times New Roman" w:hAnsi="Times New Roman"/>
                <w:b/>
                <w:bCs/>
                <w:sz w:val="20"/>
                <w:szCs w:val="20"/>
              </w:rPr>
              <w:t>7 MS-U:</w:t>
            </w:r>
            <w:r>
              <w:rPr>
                <w:rFonts w:eastAsia="Times New Roman" w:cs="Times New Roman" w:ascii="Times New Roman" w:hAnsi="Times New Roman"/>
                <w:sz w:val="20"/>
                <w:szCs w:val="20"/>
              </w:rPr>
              <w:t xml:space="preserve"> Tereny zabudowy mieszkaniowej o średniej intensywności z usługami</w:t>
              <w:tab/>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Tereny oznaczone symbolami: </w:t>
            </w:r>
            <w:r>
              <w:rPr>
                <w:rFonts w:eastAsia="Times New Roman" w:cs="Times New Roman" w:ascii="Times New Roman" w:hAnsi="Times New Roman"/>
                <w:b/>
                <w:bCs/>
                <w:sz w:val="20"/>
                <w:szCs w:val="20"/>
              </w:rPr>
              <w:t xml:space="preserve">13 ZP, 7.3 ZP </w:t>
            </w:r>
            <w:r>
              <w:rPr>
                <w:rFonts w:eastAsia="Times New Roman" w:cs="Times New Roman" w:ascii="Times New Roman" w:hAnsi="Times New Roman"/>
                <w:sz w:val="20"/>
                <w:szCs w:val="20"/>
              </w:rPr>
              <w:t xml:space="preserve"> Tereny zieleni parkowej</w:t>
            </w:r>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Maksymalna i minimalna intensywność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sz w:val="20"/>
                <w:szCs w:val="20"/>
                <w:lang w:eastAsia="pl-PL"/>
              </w:rPr>
              <w:t>http://www.lomza.pl/bip/prawo.php?wiad=56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Link do systemu informacji przestrzennej Miasta Łomża: </w:t>
            </w:r>
            <w:hyperlink r:id="rId8">
              <w:r>
                <w:rPr>
                  <w:rStyle w:val="Czeinternetowe"/>
                  <w:rFonts w:eastAsia="Times New Roman" w:cs="Times New Roman" w:ascii="Times New Roman" w:hAnsi="Times New Roman"/>
                  <w:sz w:val="20"/>
                  <w:szCs w:val="20"/>
                  <w:lang w:eastAsia="pl-PL"/>
                </w:rPr>
                <w:t>https://mlomza.e-mapa.net/</w:t>
              </w:r>
            </w:hyperlink>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Maksymalna wysokość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sz w:val="20"/>
                <w:szCs w:val="20"/>
                <w:lang w:eastAsia="pl-PL"/>
              </w:rPr>
              <w:t>http://www.lomza.pl/bip/prawo.php?wiad=56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9">
              <w:r>
                <w:rPr>
                  <w:rStyle w:val="Czeinternetowe"/>
                  <w:rFonts w:eastAsia="Times New Roman" w:cs="Times New Roman" w:ascii="Times New Roman" w:hAnsi="Times New Roman"/>
                  <w:sz w:val="20"/>
                  <w:szCs w:val="20"/>
                  <w:lang w:eastAsia="pl-PL"/>
                </w:rPr>
                <w:t>https://mlomza.e-mapa.net/</w:t>
              </w:r>
            </w:hyperlink>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Minimalny udział procentowy powierzchni biologicznie czynnej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sz w:val="20"/>
                <w:szCs w:val="20"/>
                <w:lang w:eastAsia="pl-PL"/>
              </w:rPr>
              <w:t>http://www.lomza.pl/bip/prawo.php?wiad=56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0">
              <w:r>
                <w:rPr>
                  <w:rStyle w:val="Czeinternetowe"/>
                  <w:rFonts w:eastAsia="Times New Roman" w:cs="Times New Roman" w:ascii="Times New Roman" w:hAnsi="Times New Roman"/>
                  <w:sz w:val="20"/>
                  <w:szCs w:val="20"/>
                  <w:lang w:eastAsia="pl-PL"/>
                </w:rPr>
                <w:t>https://mlomza.e-mapa.net/</w:t>
              </w:r>
            </w:hyperlink>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Minimalna liczba miejsc do parkowania</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r>
              <w:rPr>
                <w:rStyle w:val="Czeinternetowe"/>
                <w:rFonts w:eastAsia="Times New Roman" w:cs="Times New Roman" w:ascii="Times New Roman" w:hAnsi="Times New Roman"/>
                <w:sz w:val="20"/>
                <w:szCs w:val="20"/>
                <w:lang w:eastAsia="pl-PL"/>
              </w:rPr>
              <w:t>http://www.lomza.pl/bip/prawo.php?wiad=56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1">
              <w:r>
                <w:rPr>
                  <w:rStyle w:val="Czeinternetowe"/>
                  <w:rFonts w:eastAsia="Times New Roman" w:cs="Times New Roman" w:ascii="Times New Roman" w:hAnsi="Times New Roman"/>
                  <w:sz w:val="20"/>
                  <w:szCs w:val="20"/>
                  <w:lang w:eastAsia="pl-PL"/>
                </w:rPr>
                <w:t>https://mlomza.e-mapa.net/</w:t>
              </w:r>
            </w:hyperlink>
          </w:p>
        </w:tc>
      </w:tr>
      <w:tr>
        <w:trPr>
          <w:trHeight w:val="1687"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Funkcja zabudowy i zagospodarowania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Univers-PL" w:cs="Times New Roman"/>
                <w:sz w:val="20"/>
                <w:szCs w:val="20"/>
                <w:lang w:eastAsia="pl-PL"/>
              </w:rPr>
            </w:pPr>
            <w:r>
              <w:rPr>
                <w:rFonts w:eastAsia="Univers-PL" w:cs="Times New Roman" w:ascii="Times New Roman" w:hAnsi="Times New Roman"/>
                <w:sz w:val="20"/>
                <w:szCs w:val="20"/>
                <w:lang w:eastAsia="pl-PL"/>
              </w:rPr>
            </w:r>
          </w:p>
          <w:p>
            <w:pPr>
              <w:pStyle w:val="Normal"/>
              <w:widowControl w:val="false"/>
              <w:spacing w:lineRule="auto" w:line="240" w:before="144" w:after="144"/>
              <w:jc w:val="both"/>
              <w:rPr>
                <w:rFonts w:ascii="Times New Roman" w:hAnsi="Times New Roman" w:eastAsia="Univers-PL" w:cs="Times New Roman"/>
                <w:sz w:val="20"/>
                <w:szCs w:val="20"/>
                <w:lang w:eastAsia="pl-PL"/>
              </w:rPr>
            </w:pPr>
            <w:r>
              <w:rPr>
                <w:rFonts w:eastAsia="Univers-PL" w:cs="Times New Roman" w:ascii="Times New Roman" w:hAnsi="Times New Roman"/>
                <w:sz w:val="20"/>
                <w:szCs w:val="20"/>
                <w:lang w:eastAsia="pl-PL"/>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Univers-PL" w:cs="Times New Roman" w:ascii="Times New Roman" w:hAnsi="Times New Roman"/>
                <w:sz w:val="20"/>
                <w:szCs w:val="20"/>
                <w:lang w:eastAsia="pl-PL"/>
              </w:rPr>
              <w:t>Sposób użytkowania obiektów budowlanych oraz zagospodarowania terenu</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Cechy zabudowy i zagospodarowania terenu:</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gabaryty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forma architektoniczna</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usytuowanie linii zabudowy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intensywność wykorzystania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ochrony środowiska i zdrowia ludzi, przyrody i krajobrazu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wymagania dotyczące zabudowy i zagospodarowania terenu położonego na obszarach szczególnego zagrożenia powodzią</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ochrony dziedzictwa kulturowego i zabytków oraz dóbr kultury współczesnej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wymagania dotyczące ochrony innych terenów lub obiektów podlegających ochronie na podstawie przepisów odrębnych</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i szczegółowe zasady obsługi w zakresie komunikacji</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warunki i szczegółowe zasady obsługi w zakresie infrastruktury technicznej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73"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Informacje dotyczące przewidzianych inwestycji w promieniu 1 km od przedmiotowej nieruchomości</w:t>
            </w:r>
            <w:r>
              <w:rPr>
                <w:rStyle w:val="Zakotwiczenieprzypisudolnego"/>
                <w:rFonts w:eastAsia="Times New Roman" w:ascii="Times New Roman" w:hAnsi="Times New Roman"/>
                <w:sz w:val="20"/>
                <w:szCs w:val="20"/>
              </w:rPr>
              <w:footnoteReference w:customMarkFollows="1" w:id="7"/>
              <w:t>5)</w:t>
            </w:r>
            <w:r>
              <w:rPr>
                <w:rFonts w:eastAsia="Times New Roman" w:ascii="Times New Roman" w:hAnsi="Times New Roman"/>
                <w:sz w:val="20"/>
                <w:szCs w:val="20"/>
              </w:rPr>
              <w:t>5)5)5)5)5)5)5)5)5)5)</w:t>
            </w:r>
            <w:r>
              <w:rPr>
                <w:rFonts w:eastAsia="Times New Roman" w:cs="Times New Roman" w:ascii="Times New Roman" w:hAnsi="Times New Roman"/>
                <w:sz w:val="20"/>
                <w:szCs w:val="20"/>
                <w:vertAlign w:val="superscript"/>
              </w:rPr>
              <w:t>5)5)5)5)5)</w:t>
            </w:r>
            <w:r>
              <w:rPr>
                <w:rFonts w:eastAsia="Times New Roman" w:cs="Times New Roman" w:ascii="Times New Roman" w:hAnsi="Times New Roman"/>
                <w:sz w:val="20"/>
                <w:szCs w:val="20"/>
              </w:rPr>
              <w:t>, zawarte w:</w:t>
            </w:r>
          </w:p>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miejscowych planach zagospodarowania przestrzennego</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12">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3">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studium uwarunkowań i kierunków zagospodarowania przestrzennego gminy </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eastAsia="Times New Roman" w:cs="Times New Roman" w:ascii="Times New Roman" w:hAnsi="Times New Roman"/>
                <w:sz w:val="20"/>
                <w:szCs w:val="20"/>
                <w:lang w:eastAsia="pl-PL"/>
              </w:rPr>
              <w:t>Link do uchwały w sprawie Studium uwarunkowań i kierunków zagospodarowania przestrzennego miasta Łomża:</w:t>
            </w:r>
          </w:p>
          <w:p>
            <w:pPr>
              <w:pStyle w:val="Normal"/>
              <w:widowControl w:val="false"/>
              <w:spacing w:lineRule="auto" w:line="240" w:before="144" w:after="144"/>
              <w:jc w:val="both"/>
              <w:rPr/>
            </w:pPr>
            <w:r>
              <w:rPr>
                <w:rFonts w:eastAsia="Times New Roman" w:cs="Times New Roman" w:ascii="Times New Roman" w:hAnsi="Times New Roman"/>
                <w:sz w:val="20"/>
                <w:szCs w:val="20"/>
                <w:lang w:eastAsia="pl-PL"/>
              </w:rPr>
              <w:t>http://www.lomza.pl/bip/prawo.php?wiad=5676</w:t>
            </w:r>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t>decyzjach o warunkach zabudowy i zagospodarowania terenu</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pPr>
            <w:r>
              <w:rPr>
                <w:rFonts w:eastAsia="Times New Roman" w:cs="Times New Roman" w:ascii="Times New Roman" w:hAnsi="Times New Roman"/>
                <w:sz w:val="20"/>
                <w:szCs w:val="20"/>
                <w:lang w:eastAsia="pl-PL"/>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14">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5">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decyzjach o środowiskowych uwarunkowaniach</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16">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7">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decyzjach o obszarach ograniczonego użytkowania</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18">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19">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miejscowych planach odbudowy</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20">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21">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mapach zagrożenia powodziowego i mapach ryzyka powodziowego</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Link do uchwały w sprawie zatwierdzenia miejscowego planu zagospodarowania przestrzennego miasta Łomży:</w:t>
            </w:r>
          </w:p>
          <w:p>
            <w:pPr>
              <w:pStyle w:val="Normal"/>
              <w:widowControl w:val="false"/>
              <w:spacing w:lineRule="auto" w:line="240" w:before="144" w:after="144"/>
              <w:jc w:val="both"/>
              <w:rPr>
                <w:rFonts w:ascii="Times New Roman" w:hAnsi="Times New Roman" w:eastAsia="Times New Roman" w:cs="Times New Roman"/>
                <w:sz w:val="20"/>
                <w:szCs w:val="20"/>
              </w:rPr>
            </w:pPr>
            <w:hyperlink r:id="rId22">
              <w:r>
                <w:rPr>
                  <w:rStyle w:val="Czeinternetowe"/>
                  <w:rFonts w:eastAsia="Times New Roman" w:cs="Times New Roman" w:ascii="Times New Roman" w:hAnsi="Times New Roman"/>
                  <w:sz w:val="20"/>
                  <w:szCs w:val="20"/>
                  <w:lang w:eastAsia="pl-PL"/>
                </w:rPr>
                <w:t>http://www.lomza.pl/bip/prawo.php?wiad=56</w:t>
              </w:r>
            </w:hyperlink>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Link do systemu informacji przestrzennej Miasta Łomża: </w:t>
            </w:r>
            <w:hyperlink r:id="rId23">
              <w:r>
                <w:rPr>
                  <w:rStyle w:val="Czeinternetowe"/>
                  <w:rFonts w:eastAsia="Times New Roman" w:cs="Times New Roman" w:ascii="Times New Roman" w:hAnsi="Times New Roman"/>
                  <w:sz w:val="20"/>
                  <w:szCs w:val="20"/>
                  <w:lang w:eastAsia="pl-PL"/>
                </w:rPr>
                <w:t>https://mlomza.e-mapa.net/</w:t>
              </w:r>
            </w:hyperlink>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t>Ustalenia decyzji w zakresie rozmieszczenia inwestycji celu publicznego, mogące mieć znaczenie dla terenu objętego przedsięwzięciem deweloperskim lub zadaniem inwestycyjnym:</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84"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zezwoleniu na realizację inwestycji drogowej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ustaleniu lokalizacji linii kolejowej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zezwoleniu na realizację inwestycji w zakresie lotniska użytku publicznego</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pozwoleniu na realizację inwestycji w zakresie budowli przeciwpowodziowych</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ustaleniu lokalizacji inwestycji w zakresie budowy obiektu energetyki jądrowej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ustaleniu lokalizacji strategicznej inwestycji w zakresie sieci przesyłowej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ustaleniu lokalizacji regionalnej sieci szerokopasmowej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decyzja o ustaleniu lokalizacji inwestycji w zakresie Centralnego Portu Komunikacyjnego </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o zezwoleniu na realizację inwestycji w zakresie infrastruktury dostępowej</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t>decyzja o ustaleniu lokalizacji strategicznej inwestycji w sektorze naftowym</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Brak planowanych inwestycji</w:t>
            </w:r>
          </w:p>
        </w:tc>
      </w:tr>
      <w:tr>
        <w:trPr>
          <w:trHeight w:val="390" w:hRule="atLeast"/>
        </w:trPr>
        <w:tc>
          <w:tcPr>
            <w:tcW w:w="964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INFORMACJE DOTYCZĄCE BUDYNKU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90"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Czy jest pozwolenie na budowę</w:t>
              <w:br/>
            </w:r>
          </w:p>
        </w:tc>
        <w:tc>
          <w:tcPr>
            <w:tcW w:w="3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b/>
                <w:bCs/>
              </w:rPr>
            </w:pPr>
            <w:r>
              <w:rPr>
                <w:rFonts w:eastAsia="Times New Roman" w:cs="Times New Roman" w:ascii="Times New Roman" w:hAnsi="Times New Roman"/>
                <w:b/>
                <w:bCs/>
                <w:sz w:val="20"/>
                <w:szCs w:val="20"/>
              </w:rPr>
              <w:t>tak</w:t>
            </w:r>
            <w:r>
              <w:rPr>
                <w:rStyle w:val="Zakotwiczenieprzypisudolnego"/>
                <w:rFonts w:eastAsia="Times New Roman" w:ascii="Times New Roman" w:hAnsi="Times New Roman"/>
                <w:b/>
                <w:bCs/>
                <w:sz w:val="20"/>
                <w:szCs w:val="20"/>
              </w:rPr>
              <w:footnoteReference w:customMarkFollows="1" w:id="8"/>
              <w:t>*</w:t>
            </w:r>
          </w:p>
        </w:tc>
        <w:tc>
          <w:tcPr>
            <w:tcW w:w="3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strike/>
              </w:rPr>
            </w:pPr>
            <w:r>
              <w:rPr>
                <w:rFonts w:eastAsia="Times New Roman" w:cs="Times New Roman" w:ascii="Times New Roman" w:hAnsi="Times New Roman"/>
                <w:strike/>
                <w:sz w:val="20"/>
                <w:szCs w:val="20"/>
              </w:rPr>
              <w:t>nie*</w:t>
            </w:r>
          </w:p>
        </w:tc>
      </w:tr>
      <w:tr>
        <w:trPr>
          <w:trHeight w:val="390"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Czy pozwolenie na budowę jest ostateczne</w:t>
            </w:r>
          </w:p>
        </w:tc>
        <w:tc>
          <w:tcPr>
            <w:tcW w:w="3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b/>
                <w:bCs/>
              </w:rPr>
            </w:pPr>
            <w:r>
              <w:rPr>
                <w:rFonts w:eastAsia="Times New Roman" w:cs="Times New Roman" w:ascii="Times New Roman" w:hAnsi="Times New Roman"/>
                <w:b/>
                <w:bCs/>
                <w:sz w:val="20"/>
                <w:szCs w:val="20"/>
              </w:rPr>
              <w:t>tak*</w:t>
            </w:r>
          </w:p>
        </w:tc>
        <w:tc>
          <w:tcPr>
            <w:tcW w:w="3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strike/>
              </w:rPr>
            </w:pPr>
            <w:r>
              <w:rPr>
                <w:rFonts w:eastAsia="Times New Roman" w:cs="Times New Roman" w:ascii="Times New Roman" w:hAnsi="Times New Roman"/>
                <w:strike/>
                <w:sz w:val="20"/>
                <w:szCs w:val="20"/>
              </w:rPr>
              <w:t>nie*</w:t>
            </w:r>
          </w:p>
        </w:tc>
      </w:tr>
      <w:tr>
        <w:trPr>
          <w:trHeight w:val="390"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Czy pozwolenie na budowę jest zaskarżone</w:t>
            </w:r>
          </w:p>
        </w:tc>
        <w:tc>
          <w:tcPr>
            <w:tcW w:w="3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strike/>
              </w:rPr>
            </w:pPr>
            <w:r>
              <w:rPr>
                <w:rFonts w:eastAsia="Times New Roman" w:cs="Times New Roman" w:ascii="Times New Roman" w:hAnsi="Times New Roman"/>
                <w:strike/>
                <w:sz w:val="20"/>
                <w:szCs w:val="20"/>
              </w:rPr>
              <w:t>tak*</w:t>
            </w:r>
          </w:p>
        </w:tc>
        <w:tc>
          <w:tcPr>
            <w:tcW w:w="3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b/>
                <w:bCs/>
              </w:rPr>
            </w:pPr>
            <w:r>
              <w:rPr>
                <w:rFonts w:eastAsia="Times New Roman" w:cs="Times New Roman" w:ascii="Times New Roman" w:hAnsi="Times New Roman"/>
                <w:b/>
                <w:bCs/>
                <w:sz w:val="20"/>
                <w:szCs w:val="20"/>
              </w:rPr>
              <w:t>nie*</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Numer pozwolenia na budowę oraz nazwa organu, który je wydał</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Decyzja nr 97/25 z dnia 20.08.2025r. wydana przez Prezydenta Miasta Łomża.</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Data uprawomocnienia się decyzji o pozwoleniu na użytkowanie budynku</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Data zakończenia budowy domu jednorodzinnego </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Planowany termin rozpoczęcia i zakończenia robót budowlanych</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lineRule="auto" w:line="240" w:before="0" w:after="0"/>
              <w:jc w:val="both"/>
              <w:rPr>
                <w:rFonts w:ascii="Times New Roman" w:hAnsi="Times New Roman"/>
                <w:sz w:val="20"/>
                <w:szCs w:val="20"/>
              </w:rPr>
            </w:pPr>
            <w:r>
              <w:rPr>
                <w:rFonts w:cs="Times New Roman" w:ascii="Times New Roman" w:hAnsi="Times New Roman"/>
                <w:sz w:val="20"/>
                <w:szCs w:val="20"/>
              </w:rPr>
              <w:t>Rozpoczęcie prac budowlanych nastąpiło dnia:</w:t>
            </w:r>
            <w:r>
              <w:rPr>
                <w:rFonts w:cs="Times New Roman" w:ascii="Times New Roman" w:hAnsi="Times New Roman"/>
                <w:b/>
                <w:bCs/>
                <w:sz w:val="20"/>
                <w:szCs w:val="20"/>
              </w:rPr>
              <w:t xml:space="preserve">  16 września 2025 roku</w:t>
            </w:r>
            <w:r>
              <w:rPr>
                <w:rFonts w:cs="Times New Roman" w:ascii="Times New Roman" w:hAnsi="Times New Roman"/>
                <w:sz w:val="20"/>
                <w:szCs w:val="20"/>
              </w:rPr>
              <w:t>.</w:t>
            </w:r>
            <w:r>
              <w:rPr>
                <w:rFonts w:cs="Times New Roman" w:ascii="Times New Roman" w:hAnsi="Times New Roman"/>
                <w:color w:val="FF0000"/>
                <w:sz w:val="20"/>
                <w:szCs w:val="20"/>
              </w:rPr>
              <w:t xml:space="preserve"> </w:t>
            </w:r>
          </w:p>
          <w:p>
            <w:pPr>
              <w:pStyle w:val="Normal"/>
              <w:widowControl w:val="false"/>
              <w:shd w:val="clear" w:color="auto" w:fill="FFFFFF"/>
              <w:spacing w:lineRule="auto" w:line="240" w:before="0" w:after="0"/>
              <w:jc w:val="both"/>
              <w:rPr>
                <w:color w:val="000000"/>
              </w:rPr>
            </w:pPr>
            <w:r>
              <w:rPr>
                <w:rFonts w:cs="Times New Roman" w:ascii="Times New Roman" w:hAnsi="Times New Roman"/>
                <w:color w:val="000000"/>
                <w:sz w:val="20"/>
                <w:szCs w:val="20"/>
              </w:rPr>
              <w:t xml:space="preserve">Wybudowanie budynku nastąpi do dnia: </w:t>
            </w:r>
            <w:r>
              <w:rPr>
                <w:rFonts w:cs="Times New Roman" w:ascii="Times New Roman" w:hAnsi="Times New Roman"/>
                <w:b/>
                <w:bCs/>
                <w:color w:val="000000"/>
                <w:sz w:val="20"/>
                <w:szCs w:val="20"/>
              </w:rPr>
              <w:t>31 marca 2027 roku</w:t>
            </w:r>
            <w:r>
              <w:rPr>
                <w:rFonts w:cs="Times New Roman" w:ascii="Times New Roman" w:hAnsi="Times New Roman"/>
                <w:color w:val="000000"/>
                <w:sz w:val="20"/>
                <w:szCs w:val="20"/>
              </w:rPr>
              <w:t>.</w:t>
            </w:r>
          </w:p>
          <w:p>
            <w:pPr>
              <w:pStyle w:val="Normal"/>
              <w:widowControl w:val="false"/>
              <w:shd w:val="clear" w:color="auto" w:fill="FFFFFF"/>
              <w:spacing w:lineRule="auto" w:line="240" w:before="0" w:after="0"/>
              <w:jc w:val="both"/>
              <w:rPr>
                <w:color w:val="000000"/>
              </w:rPr>
            </w:pPr>
            <w:r>
              <w:rPr>
                <w:rFonts w:cs="Times New Roman" w:ascii="Times New Roman" w:hAnsi="Times New Roman"/>
                <w:color w:val="000000"/>
                <w:sz w:val="20"/>
                <w:szCs w:val="20"/>
              </w:rPr>
              <w:t xml:space="preserve">Uzyskanie prawomocnego pozwolenia na użytkowanie do dnia: </w:t>
            </w:r>
            <w:r>
              <w:rPr>
                <w:rFonts w:cs="Times New Roman" w:ascii="Times New Roman" w:hAnsi="Times New Roman"/>
                <w:b/>
                <w:bCs/>
                <w:color w:val="000000"/>
                <w:sz w:val="20"/>
                <w:szCs w:val="20"/>
              </w:rPr>
              <w:t>30 czerwca 2027 roku.</w:t>
            </w:r>
          </w:p>
        </w:tc>
      </w:tr>
      <w:tr>
        <w:trPr>
          <w:trHeight w:val="325"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Opis przedsięwzięcia deweloperskiego albo zadania inwestycyjnego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Liczba budynków </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r>
      <w:tr>
        <w:trPr>
          <w:trHeight w:val="325"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Rozmieszczenie budynków na nieruchomości (należy podać minimalny odstęp między budynkami)</w:t>
            </w:r>
          </w:p>
        </w:tc>
        <w:tc>
          <w:tcPr>
            <w:tcW w:w="3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48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Sposób pomiaru powierzchni użytkowej lokalu mieszkalnego albo domu jednorodzinnego</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PN-ISO 9836: 1997</w:t>
            </w:r>
          </w:p>
        </w:tc>
      </w:tr>
      <w:tr>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Zamierzony sposób i procentowy udział źródeł finansowania przedsięwzięcia deweloperskiego lub zadania inwestycyjnego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Rodzaj posiadanych środków finansowych – kredyt, środki własne, inne</w:t>
            </w:r>
          </w:p>
        </w:tc>
        <w:tc>
          <w:tcPr>
            <w:tcW w:w="3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Środki własne. Deweloper dopuszcza możliwość uruchomienia kredytu deweloperskiego w trakcie realizacji inwestycji.</w:t>
            </w:r>
          </w:p>
        </w:tc>
      </w:tr>
      <w:tr>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następujących instytucjach finansowych (wypełnia się w przypadku kredytu)</w:t>
            </w:r>
          </w:p>
        </w:tc>
        <w:tc>
          <w:tcPr>
            <w:tcW w:w="3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Nie dotyczy</w:t>
            </w:r>
          </w:p>
        </w:tc>
      </w:tr>
      <w:tr>
        <w:trPr>
          <w:trHeight w:val="1481"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Środki ochrony nabywców</w:t>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b/>
                <w:bCs/>
              </w:rPr>
            </w:pPr>
            <w:r>
              <w:rPr>
                <w:rFonts w:eastAsia="Times New Roman" w:cs="Times New Roman" w:ascii="Times New Roman" w:hAnsi="Times New Roman"/>
                <w:b/>
                <w:bCs/>
                <w:sz w:val="20"/>
                <w:szCs w:val="20"/>
              </w:rPr>
              <w:t>Otwarty mieszkaniowy rachunek powierniczy*</w:t>
            </w:r>
          </w:p>
          <w:p>
            <w:pPr>
              <w:pStyle w:val="Normal"/>
              <w:widowControl w:val="false"/>
              <w:spacing w:lineRule="auto" w:line="240" w:before="144" w:after="144"/>
              <w:jc w:val="both"/>
              <w:rPr>
                <w:color w:val="000000"/>
              </w:rPr>
            </w:pPr>
            <w:r>
              <w:rPr>
                <w:rFonts w:eastAsia="Times New Roman" w:cs="Times New Roman" w:ascii="Times New Roman" w:hAnsi="Times New Roman"/>
                <w:color w:val="000000"/>
                <w:sz w:val="20"/>
                <w:szCs w:val="20"/>
              </w:rPr>
              <w:t>Otwarty na podstawie umowy zawartej z bankiem Hexa Bank Spółdzielczy w Piątnicy w dniu 19.03.2026 r.</w:t>
            </w:r>
          </w:p>
        </w:tc>
        <w:tc>
          <w:tcPr>
            <w:tcW w:w="3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strike/>
              </w:rPr>
            </w:pPr>
            <w:r>
              <w:rPr>
                <w:rFonts w:eastAsia="Times New Roman" w:cs="Times New Roman" w:ascii="Times New Roman" w:hAnsi="Times New Roman"/>
                <w:strike/>
                <w:sz w:val="20"/>
                <w:szCs w:val="20"/>
              </w:rPr>
              <w:t>Zamknięty mieszkaniowy rachunek powierniczy*</w:t>
            </w:r>
          </w:p>
        </w:tc>
      </w:tr>
      <w:tr>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Wysokość stawki procentowej, według której jest obliczana kwota składki na Deweloperski Fundusz Gwarancyjny</w:t>
            </w:r>
            <w:r>
              <w:rPr>
                <w:rStyle w:val="Zakotwiczenieprzypisudolnego"/>
                <w:rFonts w:eastAsia="Times New Roman" w:ascii="Times New Roman" w:hAnsi="Times New Roman"/>
                <w:sz w:val="20"/>
                <w:szCs w:val="20"/>
              </w:rPr>
              <w:footnoteReference w:customMarkFollows="1" w:id="9"/>
              <w:t>6)</w:t>
            </w:r>
            <w:r>
              <w:rPr>
                <w:rFonts w:eastAsia="Times New Roman" w:ascii="Times New Roman" w:hAnsi="Times New Roman"/>
                <w:sz w:val="20"/>
                <w:szCs w:val="20"/>
              </w:rPr>
              <w:t>6)6)6)6)6)6)6)6)6)6)</w:t>
            </w:r>
            <w:r>
              <w:rPr>
                <w:rFonts w:eastAsia="Times New Roman" w:cs="Times New Roman" w:ascii="Times New Roman" w:hAnsi="Times New Roman"/>
                <w:sz w:val="20"/>
                <w:szCs w:val="20"/>
                <w:vertAlign w:val="superscript"/>
              </w:rPr>
              <w:t>6)6)6)6)6)</w:t>
            </w:r>
            <w:r>
              <w:rPr>
                <w:rFonts w:eastAsia="Times New Roman" w:cs="Times New Roman" w:ascii="Times New Roman" w:hAnsi="Times New Roman"/>
                <w:sz w:val="20"/>
                <w:szCs w:val="20"/>
              </w:rPr>
              <w:t xml:space="preserve"> </w:t>
            </w:r>
          </w:p>
        </w:tc>
        <w:tc>
          <w:tcPr>
            <w:tcW w:w="3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0,45%</w:t>
            </w:r>
          </w:p>
        </w:tc>
      </w:tr>
      <w:tr>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Główne zasady funkcjonowania wybranego rodzaju zabezpieczenia środków nabywcy</w:t>
            </w:r>
          </w:p>
        </w:tc>
        <w:tc>
          <w:tcPr>
            <w:tcW w:w="68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Otwarty mieszkaniowy rachunek powierniczy, z którego wypłata zdeponowanych środków następuje po zakończeniu danego etapu, zgodnie z harmonogramem przedsięwzięcia deweloperskiego określonego w umowie deweloperskiej po stwierdzeniu przez bank ukończenia danego etapu.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93"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Nazwa instytucji zapewniającej bezpieczeństwo środków nabywcy</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color w:val="000000"/>
              </w:rPr>
            </w:pPr>
            <w:r>
              <w:rPr>
                <w:rFonts w:eastAsia="Times New Roman" w:cs="Times New Roman" w:ascii="Times New Roman" w:hAnsi="Times New Roman"/>
                <w:color w:val="000000"/>
                <w:sz w:val="20"/>
                <w:szCs w:val="20"/>
              </w:rPr>
              <w:t>Hexa Bank Spółdzielczy</w:t>
            </w:r>
          </w:p>
          <w:p>
            <w:pPr>
              <w:pStyle w:val="Normal"/>
              <w:widowControl w:val="false"/>
              <w:spacing w:lineRule="auto" w:line="240" w:before="144" w:after="144"/>
              <w:jc w:val="both"/>
              <w:rPr>
                <w:color w:val="000000"/>
              </w:rPr>
            </w:pPr>
            <w:r>
              <w:rPr>
                <w:rFonts w:eastAsia="Times New Roman" w:cs="Times New Roman" w:ascii="Times New Roman" w:hAnsi="Times New Roman"/>
                <w:color w:val="000000"/>
                <w:sz w:val="20"/>
                <w:szCs w:val="20"/>
              </w:rPr>
              <w:t>Oddział w Piątnicy Poduchownej</w:t>
            </w:r>
          </w:p>
        </w:tc>
      </w:tr>
      <w:tr>
        <w:trPr>
          <w:trHeight w:val="8292"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Harmonogram przedsięwzięcia deweloperskiego lub zadania inwestycyjnego</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anchor behindDoc="0" distT="0" distB="0" distL="0" distR="0" simplePos="0" locked="0" layoutInCell="1" allowOverlap="1" relativeHeight="5">
                  <wp:simplePos x="0" y="0"/>
                  <wp:positionH relativeFrom="column">
                    <wp:posOffset>34290</wp:posOffset>
                  </wp:positionH>
                  <wp:positionV relativeFrom="paragraph">
                    <wp:posOffset>143510</wp:posOffset>
                  </wp:positionV>
                  <wp:extent cx="4204970" cy="3619500"/>
                  <wp:effectExtent l="0" t="0" r="0" b="0"/>
                  <wp:wrapSquare wrapText="largest"/>
                  <wp:docPr id="1"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
                          <pic:cNvPicPr>
                            <a:picLocks noChangeAspect="1" noChangeArrowheads="1"/>
                          </pic:cNvPicPr>
                        </pic:nvPicPr>
                        <pic:blipFill>
                          <a:blip r:embed="rId24"/>
                          <a:stretch>
                            <a:fillRect/>
                          </a:stretch>
                        </pic:blipFill>
                        <pic:spPr bwMode="auto">
                          <a:xfrm>
                            <a:off x="0" y="0"/>
                            <a:ext cx="4204970" cy="3619500"/>
                          </a:xfrm>
                          <a:prstGeom prst="rect">
                            <a:avLst/>
                          </a:prstGeom>
                        </pic:spPr>
                      </pic:pic>
                    </a:graphicData>
                  </a:graphic>
                </wp:anchor>
              </w:drawing>
            </w:r>
          </w:p>
        </w:tc>
      </w:tr>
      <w:tr>
        <w:trPr>
          <w:trHeight w:val="292"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Times New Roman" w:hAnsi="Times New Roman" w:eastAsia="Times New Roman" w:cs="Times New Roman"/>
                <w:sz w:val="20"/>
                <w:szCs w:val="20"/>
              </w:rPr>
            </w:pPr>
            <w:r>
              <w:rPr>
                <w:rFonts w:eastAsia="Times New Roman" w:cs="Times New Roman" w:ascii="Times New Roman" w:hAnsi="Times New Roman"/>
                <w:sz w:val="20"/>
                <w:szCs w:val="20"/>
              </w:rPr>
              <w:t>Dopuszczenie waloryzacji ceny oraz określenie zasad waloryzacji</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Cena nie podlega waloryzacji.</w:t>
            </w:r>
          </w:p>
          <w:p>
            <w:pPr>
              <w:pStyle w:val="Normal"/>
              <w:widowControl w:val="false"/>
              <w:spacing w:lineRule="auto" w:line="240" w:before="144" w:after="144"/>
              <w:jc w:val="center"/>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t>Zmiana ceny na podstawie innej niż waloryzacja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Cena brutto Lokalu ulegnie odpowiedniej zmianie w przypadku zmiany stawki podatku od towarów i usług:</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w przypadku wzrostu stawki podatku cena ta wzrośnie - o kwotę wynikającą z różnicy między ceną brutto Lokalu obliczoną według nowej stawki podatku a ceną brutto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w przypadku obniżenia stawki podatku cena ta ulegnie zmniejszeniu - o kwotę wynikającą z różnicy między ceną brutto a ceną brutto Lokalu obliczoną przy uwzględnieniu obniżonej stawki podatku.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przypadku zmiany stawki podatku od towarów i usług Deweloper dokona przeliczenia niezapłaconych przez Nabywcę rat ceny, których termin płatności przypadać będzie po dacie zmiany stawki podatku, według nowej stawki podatku oraz poinformuje o tym Nabywcę na piśmie najpóźniej na 14 (czternaście) dni przed terminem odbioru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Różnica w cenie Lokalu wynikająca ze zmiany stawki podatku od towarów i usług zostanie rozliczona między Stronami do dnia odbioru Lokalu przez Nabywcę.</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Umówiona cena brutto Lokalu obliczona zostanie według iloczynu metrów kwadratowych projektowanej powierzchni Lokalu i ceny 1 metra kwadratowego tej powierzchni.</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przypadku wystąpienia różnicy między projektowaną powierzchnią Lokalu a powierzchnią ostateczną, ustaloną po zakończeniu budowy, na podstawie pomiaru dokonanego na wysokości 1,30 m po nałożeniu tynków, cena Lokalu ulegnie odpowiedniej zmianie, a o powstałej na tej podstawie różnicy w cenie Lokalu Deweloper zawiadomi Nabywcę na piśmie najpóźniej na 14 (czternaście) dni przed terminem odbioru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Różnica w cenie Lokalu, o której mowa powyżej, zostanie rozliczona między Stronami do dnia odbioru Lokalu przez Nabywcę.</w:t>
            </w:r>
          </w:p>
        </w:tc>
      </w:tr>
      <w:tr>
        <w:trPr/>
        <w:tc>
          <w:tcPr>
            <w:tcW w:w="9648" w:type="dxa"/>
            <w:gridSpan w:val="3"/>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WARUNKI ODSTĄPIENIA OD UMOWY DEWELOPERSKIEJ LUB UMOWY, O KTÓREJ MOWA W ART. 2 UST. 1 PKT 2, 3 LUB 5 USTAWY Z DNIA 20 MAJA 2021 r. O OCHRONIE PRAW NABYWCY LOKALU MIESZKALNEGO LUB DOMU JEDNORODZINNEGO ORAZ O DEWELOPERSKIM FUNDUSZU GWARANCYJNYM (Dz.U. 2024 poz. 695)</w:t>
            </w:r>
          </w:p>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rHeight w:val="1512"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Należy opisać, na jakich warunkach można odstąpić od umowy deweloperskiej lub jednej z umów, o których mowa w art. 2 ust. 1 pkt 2, 3 lub 5 ustawy z dnia 20 maja 2021r. o ochronie praw nabywcy lokalu mieszkalnego lub domu jednorodzinnego oraz o Deweloperskim Funduszu Gwarancyjnym</w:t>
            </w:r>
          </w:p>
        </w:tc>
        <w:tc>
          <w:tcPr>
            <w:tcW w:w="68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Nabywca ma prawo odstąpić od umowy deweloperskiej albo umowy, o której mowa w art. 2 ust. 1 pkt 2, 3 lub 5:</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jeżeli umowa deweloperska albo umowa, o której mowa w art. 2 ust. 1 pkt 2, 3 lub 5, nie zawiera odpowiednio elementów, o których mowa w art. 35, albo elementów, o których mowa w art. 36;</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jeżeli informacje zawarte w umowie deweloperskiej albo umowie, o której mowa w art. 2 ust. 1 pkt 2, 3 lub 5, nie są zgodne z informacjami zawartymi w prospekcie informacyjnym lub jego załącznikach, z wyjątkiem zmian, o których mowa w art. 35 ust. 2;</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jeżeli deweloper nie doręczył zgodnie z art. 21 lub art. 22 prospektu informacyjnego wraz z załącznikami lub informacji o zmianie danych lub informacji zawartych w prospekcie informacyjnym lub jego załącznikach;</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 jeżeli dane lub informacje zawarte w prospekcie informacyjnym lub jego załącznikach, na podstawie których zawarto umowę deweloperską albo umowę, o której mowa w art. 2 ust. 1 pkt 2, 3 lub 5, są niezgodne ze stanem faktycznym lub prawnym w dniu zawarcia umowy;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 jeżeli prospekt informacyjny, na podstawie którego zawarto umowę deweloperską albo umowę, o której mowa w art. 2 ust. 1 pkt 2, 3 lub 5, nie zawiera danych lub informacji określonych we wzorze prospektu informacyjnego;</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w przypadku nieprzeniesienia na nabywcę praw wynikających z umowy deweloperskiej albo umowy, o której mowa w art. 2 ust. 1 pkt 2, 3 lub 5, w terminie wynikającym z tych umów;</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 w przypadku gdy deweloper nie zawrze umowy mieszkaniowego rachunku powierniczego z innym bankiem lub inną kasą w trybie i terminie, o których mowa w art. 10 ust. 1;</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8) w przypadku gdy deweloper nie posiada zgody wierzyciela hipotecznego lub zobowiązania do jej udzielenia, o których mowa w art. 25 ust. 1 pkt 1 lub 2;</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9) w przypadku niewykonania przez dewelopera obowiązku, o którym mowa w art. 12 ust. 2, w terminie określonym w tym przepisie;</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10) w przypadku nieusunięcia przez dewelopera wady istotnej lokalu mieszkalnego albo domu jednorodzinnego na zasadach określonych w art. 41 ust. 11;</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11) w przypadku stwierdzenia przez rzeczoznawcę istnienia wady istotnej, o którym mowa w art. 41 ust. 15;</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12) jeżeli syndyk zażądał wykonania umowy na podstawie art. 98 ustawy z dnia 28 lutego 2003 r. - Prawo upadłościowe.</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W przypadkach, o których mowa w ust. 1 pkt 1-5, nabywca ma prawo odstąpienia od umowy deweloperskiej albo umowy, o której mowa w art. 2 ust. 1 pkt 2, 3 lub 5, w terminie 30 dni od dnia jej zawarcia.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br/>
              <w:t>4. W przypadku, o którym mowa w ust. 1 pkt 7, nabywca ma prawo odstąpienia od umowy deweloperskiej albo umowy, o której mowa w art. 2 ust. 1 pkt 2, 3 lub 5, po dokonaniu przez bank lub kasę zwrotu środków zgodnie z art. 10 ust. 3.</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 W przypadku, o którym mowa w ust. 1 pkt 8, nabywca ma prawo odstąpienia od umowy deweloperskiej albo umowy, o której mowa w art. 2 ust. 1 pkt 2, 3 lub 5, w terminie 60 dni od dnia jej zawarcia.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W przypadku, o którym mowa w ust. 1 pkt 9, nabywca ma prawo odstąpienia od umowy deweloperskiej albo umowy, o której mowa w art. 2 ust. 1 pkt 2, 3 lub 5, po upływie 60 dni od dnia podania do publicznej wiadomości informacji, o których mowa w art. 12 ust. 1.</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9. W przypadku odstąpienia od umowy deweloperskiej, zgodnie z art. 29 ustawy przez jedną ze stron:</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bank wypłaca Nabywcy przypadające mu środki pozostałe na mieszkaniowym rachunku powierniczym, niezwłocznie po otrzymaniu oświadczenia o odstąpieniu od umowy deweloperskiej oraz dokumentów określonych § 8 powołanej umowy o prowadzenie mieszkaniowego rachunku powierniczego (warunki wypłaty środków pieniężnych po odstąpieniu od umowy deweloperskiej w trybie art. 43 ustawy zostały określone w § 8 powołanej umowy o jego prowadzenie), Deweloper wypłaca Nabywcy pozostałą kwotę uiszczoną przez Nabywcę na poczet świadczenia pieniężnego, którą bank wypłacił już Deweloperowi – w terminie 30 (trzydziestu) dni od dnia skutecznego odstąpienia od umowy przez Dewelopera lub Nabywcę.</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10. Ponadto strony zastrzegają na rzecz Nabywcy umowne prawo odstąpienia od umowy w przypadku: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zmiany przepisów podatkowych mających wpływ na wysokość ceny Lokalu, w szczególności stawek należnego podatku VAT, a złożone oświadczenie woli o odstąpieniu przez Nabywcę od umowy musi być przesłane listem poleconym, za zwrotnym potwierdzeniem odbioru na adres siedziby Dewelopera w ciągu 14 (czternastu) dni od dnia skutecznego poinformowania go przez Dewelopera o zmianie ceny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 zmiany powierzchni Lokalu powyżej 1,99% i związanej z nią proporcjonalnie zmiany ceny, a złożone oświadczenie woli o odstąpieniu przez Nabywcę od umowy musi być przesłane listem poleconym, za zwrotnym potwierdzeniem odbioru na adres siedziby Dewelopera w ciągu 14 (czternastu) dni od dnia skutecznego poinformowania go przez Dewelopera o zmianie powierzchni Lokalu, z tym, że jeżeli powierzchnia Lokalu będzie mniejsza od powierzchni projektowanej o więcej niż 1,99%, Nabywca zachowa prawo do obniżenia ceny za Lokal, proporcjonalnie do zmiany powierzchni Lokalu,</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wyżej opisanych przypadkach odstąpienia przez Nabywcę od umowy, kwota dokonanych przez niego wpłat zostanie mu zwrócona.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przypadku nieodstąpienia od umowy przez Nabywcę w sytuacjach wyżej wskazanych strony podpiszą do umowy aneks wynikający ze zmiany wysokości ceny Lokalu, w terminie 30 (trzydziestu) dni od otrzymania od Dewelopera zawiadomienia.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 razie odmowy Nabywcy podpisania stosownego aneksu, Deweloperowi przysługiwać będzie umowne prawo odstąpienia od umowy w terminie 14 (czternastu) dni od bezskutecznego upływu wyżej wskazanego terminu na podpisanie aneksu, a Nabywcy zostanie zwrócona cała kwota dokonanych przez niego wpłat.</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11 W przypadku skorzystania przez Nabywcę z prawa odstąpienia ustawowego, bądź umownego, o których mowa powyżej:</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nie jest dopuszczalne zastrzeżenie, że Nabywcy wolno odstąpić od umowy deweloperskiej za zapłatą oznaczonej sumy,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 umowa uważana jest za niezawartą, a Nabywca nie ponosi żadnych kosztów związanych z odstąpieniem od umowy.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 Oświadczenie woli Nabywcy o odstąpieniu od umowy deweloperskiej jest skuteczne, jeżeli zawiera zgodę na wykreślenie roszczenia o przeniesienie własności nieruchomości, złożone w formie pisemnej z podpisami notarialnie poświadczonymi, w związku, z czym w przypadku odstąpienia od umowy deweloperskiej przez Dewelopera z przyczyn wskazanych powyżej, Nabywca niniejszym zobowiązuje się wyrazić zgodę na wykreślenie roszczenia, wynikającego z zawarcia umowy.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510" w:hRule="atLeast"/>
        </w:trPr>
        <w:tc>
          <w:tcPr>
            <w:tcW w:w="964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INNE INFORMACJE </w:t>
            </w:r>
          </w:p>
        </w:tc>
      </w:tr>
      <w:tr>
        <w:trPr>
          <w:trHeight w:val="1512" w:hRule="atLeast"/>
        </w:trPr>
        <w:tc>
          <w:tcPr>
            <w:tcW w:w="9648" w:type="dxa"/>
            <w:gridSpan w:val="3"/>
            <w:tcBorders>
              <w:top w:val="single" w:sz="4" w:space="0" w:color="000000"/>
              <w:left w:val="single" w:sz="4" w:space="0" w:color="000000"/>
              <w:right w:val="single" w:sz="4" w:space="0" w:color="000000"/>
            </w:tcBorders>
            <w:shd w:color="auto" w:fill="F3F3F3"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 Informacja o:</w:t>
            </w:r>
          </w:p>
          <w:p>
            <w:pPr>
              <w:pStyle w:val="Normal"/>
              <w:widowControl w:val="false"/>
              <w:spacing w:lineRule="auto" w:line="240" w:before="144" w:after="144"/>
              <w:ind w:left="313" w:hanging="313"/>
              <w:jc w:val="both"/>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rPr>
              <w:t>1)</w:t>
              <w:tab/>
              <w:t xml:space="preserve">zgodzie </w:t>
            </w:r>
            <w:r>
              <w:rPr>
                <w:rFonts w:eastAsia="Times New Roman" w:cs="Times New Roman" w:ascii="Times New Roman" w:hAnsi="Times New Roman"/>
                <w:sz w:val="20"/>
                <w:szCs w:val="20"/>
                <w:lang w:eastAsia="pl-PL"/>
              </w:rPr>
              <w:t>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2)</w:t>
              <w:tab/>
            </w:r>
            <w:r>
              <w:rPr>
                <w:rFonts w:eastAsia="Times New Roman" w:cs="Times New Roman" w:ascii="Times New Roman" w:hAnsi="Times New Roman"/>
                <w:sz w:val="20"/>
                <w:szCs w:val="20"/>
              </w:rPr>
              <w:t xml:space="preserve">w przypadku umów, o których mowa w art. 2 ust. 2 ustawy z dnia 20 maja 2021r. o ochronie praw nabywcy lokalu mieszkalnego lub domu jednorodzinnego oraz o Deweloperskim Funduszu Gwarancyjnym, o </w:t>
            </w:r>
            <w:r>
              <w:rPr>
                <w:rFonts w:eastAsia="Times New Roman" w:cs="Times New Roman" w:ascii="Times New Roman" w:hAnsi="Times New Roman"/>
                <w:sz w:val="20"/>
                <w:szCs w:val="20"/>
                <w:lang w:eastAsia="pl-PL"/>
              </w:rPr>
              <w:t>zgodzie banku lub innego wierzyciela hipotecznego na bezobciążeniowe przeniesienie 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lang w:eastAsia="pl-PL"/>
              </w:rPr>
              <w:t xml:space="preserve">   </w:t>
            </w:r>
            <w:r>
              <w:rPr>
                <w:rFonts w:eastAsia="Times New Roman" w:cs="Times New Roman" w:ascii="Times New Roman" w:hAnsi="Times New Roman"/>
                <w:sz w:val="20"/>
                <w:szCs w:val="20"/>
                <w:lang w:eastAsia="pl-PL"/>
              </w:rPr>
              <w:t xml:space="preserve">Deweloper przedstawi zgodę Banku lub zobowiązanie Banku do jej udzielenia  lub innego wierzyciela hipotecznego na bezobciążeniowe przeniesienie na Nabywcę własności przedmiotu umowy po wpłacie pełnej ceny przez Nabywcę. </w:t>
            </w:r>
          </w:p>
        </w:tc>
      </w:tr>
      <w:tr>
        <w:trPr>
          <w:trHeight w:val="1512" w:hRule="atLeast"/>
        </w:trPr>
        <w:tc>
          <w:tcPr>
            <w:tcW w:w="9648" w:type="dxa"/>
            <w:gridSpan w:val="3"/>
            <w:tcBorders>
              <w:left w:val="single" w:sz="4" w:space="0" w:color="000000"/>
              <w:right w:val="single" w:sz="4" w:space="0" w:color="000000"/>
            </w:tcBorders>
            <w:shd w:color="auto" w:fill="FFFFFF"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II. Informacja o możliwości zapoznania się w lokalu przedsiębiorstwa przez osobę zainteresowaną zawarciem umowy odpowiednio do zakresu umowy z:</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aktualnym stanem księgi wieczystej;</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kopią decyzji o pozwoleniu na budowę;</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sprawozdaniem finansowym dewelopera za ostatnie dwa lata, a w przypadku realizacji inwestycji przez spółkę celową – sprawozdaniem spółki dominującej oraz spółki celowej;</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projektem budowlanym;</w:t>
            </w:r>
          </w:p>
          <w:p>
            <w:pPr>
              <w:pStyle w:val="Normal"/>
              <w:widowControl w:val="false"/>
              <w:numPr>
                <w:ilvl w:val="0"/>
                <w:numId w:val="3"/>
              </w:numPr>
              <w:spacing w:lineRule="auto" w:line="240" w:before="144" w:after="144"/>
              <w:ind w:left="738" w:hanging="378"/>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tc>
      </w:tr>
      <w:tr>
        <w:trPr>
          <w:trHeight w:val="1512" w:hRule="atLeast"/>
        </w:trPr>
        <w:tc>
          <w:tcPr>
            <w:tcW w:w="9648" w:type="dxa"/>
            <w:gridSpan w:val="3"/>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III. Informacja:</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Środki pieniężne zgromadzone w Hexa Bank Spółdzielczy z siedzibą w Piątnicy Poduchownej prowadzącym otwarty mieszkaniowy rachunek powierniczy </w:t>
            </w:r>
            <w:r>
              <w:rPr>
                <w:rFonts w:eastAsia="Times New Roman" w:cs="Times New Roman" w:ascii="Times New Roman" w:hAnsi="Times New Roman"/>
                <w:strike/>
                <w:sz w:val="20"/>
                <w:szCs w:val="20"/>
              </w:rPr>
              <w:t>albo zamknięty mieszkaniowy rachunek powierniczy,</w:t>
            </w:r>
            <w:r>
              <w:rPr>
                <w:rFonts w:eastAsia="Times New Roman" w:cs="Times New Roman" w:ascii="Times New Roman" w:hAnsi="Times New Roman"/>
                <w:sz w:val="20"/>
                <w:szCs w:val="20"/>
              </w:rPr>
              <w:t xml:space="preserve"> są objęte ochroną obowiązkowego systemu gwarantowania depozytów, na zasadach określonych w ustawie z dnia 10 czerwca 2016 r. o Bankowym Funduszu Gwarancyjnym, systemie gwarantowania depozytów oraz przymusowej restrukturyzacji (Dz. U. z 2025 r. poz. 643 z późn. zm.).</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Informacje podstawowe o obowiązkowym systemie gwarantowania depozytów:</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ochrona środków dotyczy sytuacji spełnienia warunku gwarancji wobec Hexa Bank Spółdzielczy z siedzibą w Piątnicy Poduchownej,</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wypłata środków gwarantowanych – co do zasady – następuje w terminie 7 dni roboczych od dnia spełnienia warunku gwarancji wobec banku,</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wypłata środków gwarantowanych jest dokonywana w złotych,</w:t>
            </w:r>
          </w:p>
          <w:p>
            <w:pPr>
              <w:pStyle w:val="Normal"/>
              <w:widowControl w:val="false"/>
              <w:spacing w:lineRule="auto" w:line="240" w:before="144" w:after="144"/>
              <w:ind w:left="313" w:hanging="313"/>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Hexa Bank Spółdzielczy z siedzibą w Piątnicy Poduchownej korzysta także z następujących znaków towarowych: nie dotyczy.</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Dalsze informacje na temat systemu gwarantowania depozytów można uzyskać na stronie internetowej Bankowego Funduszu Gwarancyjnego: https://www.bfg.pl/.</w:t>
            </w:r>
          </w:p>
          <w:p>
            <w:pPr>
              <w:pStyle w:val="Normal"/>
              <w:widowControl w:val="false"/>
              <w:numPr>
                <w:ilvl w:val="0"/>
                <w:numId w:val="2"/>
              </w:numPr>
              <w:tabs>
                <w:tab w:val="clear" w:pos="708"/>
                <w:tab w:val="left" w:pos="314" w:leader="none"/>
                <w:tab w:val="left" w:pos="728" w:leader="none"/>
              </w:tabs>
              <w:spacing w:lineRule="auto" w:line="240" w:before="144" w:after="144"/>
              <w:ind w:left="30" w:hanging="72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Informacja zamieszczana w przypadku </w:t>
            </w:r>
            <w:r>
              <w:rPr>
                <w:rFonts w:eastAsia="Times New Roman" w:cs="Times New Roman" w:ascii="Times New Roman" w:hAnsi="Times New Roman"/>
                <w:bCs/>
                <w:sz w:val="20"/>
                <w:szCs w:val="20"/>
              </w:rPr>
              <w:t>zawarcia umowy mieszkaniowego rachunku powierniczego z oddziałem instytucji kredytowej, o której mowa w art. 4 ust. 1 pkt 18 ustawy z dnia 29 sierpnia 1997 r. – Prawo bankowe (Dz. U. z 2026 r. poz. 38 z późn. zm.).</w:t>
            </w:r>
          </w:p>
          <w:p>
            <w:pPr>
              <w:pStyle w:val="Normal"/>
              <w:widowControl w:val="false"/>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bCs/>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CZĘŚĆ INDYWIDUALNA</w:t>
      </w:r>
    </w:p>
    <w:p>
      <w:pPr>
        <w:pStyle w:val="Normal"/>
        <w:spacing w:lineRule="auto" w:line="240" w:before="144" w:after="144"/>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bl>
      <w:tblPr>
        <w:tblStyle w:val="Tabela-Siatka111"/>
        <w:tblW w:w="90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1"/>
        <w:gridCol w:w="3068"/>
        <w:gridCol w:w="2905"/>
      </w:tblGrid>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Cena lokalu mieszkalnego albo domu jednorodzinnego</w:t>
            </w:r>
          </w:p>
        </w:tc>
        <w:tc>
          <w:tcPr>
            <w:tcW w:w="5973" w:type="dxa"/>
            <w:gridSpan w:val="2"/>
            <w:tcBorders/>
          </w:tcPr>
          <w:p>
            <w:pPr>
              <w:pStyle w:val="Normal"/>
              <w:widowControl w:val="false"/>
              <w:suppressAutoHyphens w:val="true"/>
              <w:spacing w:lineRule="auto" w:line="240" w:before="144" w:after="144"/>
              <w:jc w:val="left"/>
              <w:rPr>
                <w:color w:val="000000"/>
              </w:rPr>
            </w:pPr>
            <w:r>
              <w:rPr>
                <w:rFonts w:eastAsia="Times New Roman" w:cs="Times New Roman" w:ascii="Times New Roman" w:hAnsi="Times New Roman"/>
                <w:b/>
                <w:bCs/>
                <w:color w:val="000000"/>
                <w:kern w:val="0"/>
                <w:sz w:val="20"/>
                <w:szCs w:val="20"/>
                <w:lang w:val="pl-PL" w:eastAsia="pl-PL" w:bidi="ar-SA"/>
              </w:rPr>
              <w:t>Cena: ……… zł. brutto (słownie: ………………. brutto)</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Powierzchnia użytkowa lokalu mieszkalnego albo domu jednorodzinnego</w:t>
            </w:r>
          </w:p>
        </w:tc>
        <w:tc>
          <w:tcPr>
            <w:tcW w:w="5973" w:type="dxa"/>
            <w:gridSpan w:val="2"/>
            <w:tcBorders/>
          </w:tcPr>
          <w:p>
            <w:pPr>
              <w:pStyle w:val="Normal"/>
              <w:widowControl w:val="false"/>
              <w:suppressAutoHyphens w:val="true"/>
              <w:spacing w:lineRule="auto" w:line="240" w:before="144" w:after="144"/>
              <w:jc w:val="left"/>
              <w:rPr>
                <w:color w:val="000000"/>
              </w:rPr>
            </w:pPr>
            <w:r>
              <w:rPr>
                <w:rFonts w:eastAsia="Times New Roman" w:cs="Times New Roman" w:ascii="Times New Roman" w:hAnsi="Times New Roman"/>
                <w:b/>
                <w:bCs/>
                <w:color w:val="000000"/>
                <w:kern w:val="0"/>
                <w:sz w:val="20"/>
                <w:szCs w:val="20"/>
                <w:lang w:val="pl-PL" w:eastAsia="pl-PL" w:bidi="ar-SA"/>
              </w:rPr>
              <w:t>Powierzchnia  …….. m2</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Cena m</w:t>
            </w:r>
            <w:r>
              <w:rPr>
                <w:rFonts w:eastAsia="Times New Roman" w:cs="Times New Roman" w:ascii="Times New Roman" w:hAnsi="Times New Roman"/>
                <w:kern w:val="0"/>
                <w:sz w:val="20"/>
                <w:szCs w:val="20"/>
                <w:vertAlign w:val="superscript"/>
                <w:lang w:val="pl-PL" w:eastAsia="pl-PL" w:bidi="ar-SA"/>
              </w:rPr>
              <w:t>2</w:t>
            </w:r>
            <w:r>
              <w:rPr>
                <w:rFonts w:eastAsia="Times New Roman" w:cs="Times New Roman" w:ascii="Times New Roman" w:hAnsi="Times New Roman"/>
                <w:kern w:val="0"/>
                <w:sz w:val="20"/>
                <w:szCs w:val="20"/>
                <w:lang w:val="pl-PL" w:eastAsia="pl-PL" w:bidi="ar-SA"/>
              </w:rPr>
              <w:t xml:space="preserve"> powierzchni użytkowej lokalu mieszkalnego albo domu jednorodzinnego</w:t>
            </w:r>
          </w:p>
        </w:tc>
        <w:tc>
          <w:tcPr>
            <w:tcW w:w="5973" w:type="dxa"/>
            <w:gridSpan w:val="2"/>
            <w:tcBorders/>
          </w:tcPr>
          <w:p>
            <w:pPr>
              <w:pStyle w:val="Normal"/>
              <w:widowControl w:val="false"/>
              <w:suppressAutoHyphens w:val="true"/>
              <w:spacing w:lineRule="auto" w:line="240" w:before="144" w:after="144"/>
              <w:jc w:val="left"/>
              <w:rPr>
                <w:color w:val="000000"/>
              </w:rPr>
            </w:pPr>
            <w:r>
              <w:rPr>
                <w:rFonts w:eastAsia="Times New Roman" w:cs="Times New Roman" w:ascii="Times New Roman" w:hAnsi="Times New Roman"/>
                <w:b/>
                <w:bCs/>
                <w:color w:val="000000"/>
                <w:kern w:val="0"/>
                <w:sz w:val="20"/>
                <w:szCs w:val="20"/>
                <w:lang w:val="pl-PL" w:eastAsia="pl-PL" w:bidi="ar-SA"/>
              </w:rPr>
              <w:t>Cena za m2: ………. zł/brutto (słownie: …………………………… złotych)</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 xml:space="preserve">Termin, do którego nastąpi przeniesienie prawa własności nieruchomości wynikającego z umowy deweloperskiej lub jednej z umów, o których mowa w art. 2 ust. 1 pkt 2, 3 lub 5 lub ust. 2 ustawy z dnia 20.05.2021 o ochronie praw nabywcy lokalu mieszkalnego lub domu jednorodzinnego oraz o Deweloperskim Funduszu Gwarancyjnym </w:t>
            </w:r>
          </w:p>
        </w:tc>
        <w:tc>
          <w:tcPr>
            <w:tcW w:w="5973" w:type="dxa"/>
            <w:gridSpan w:val="2"/>
            <w:tcBorders/>
          </w:tcPr>
          <w:p>
            <w:pPr>
              <w:pStyle w:val="Normal"/>
              <w:widowControl w:val="false"/>
              <w:shd w:val="clear" w:color="auto" w:fill="FFFFFF"/>
              <w:suppressAutoHyphens w:val="true"/>
              <w:spacing w:lineRule="auto" w:line="240" w:before="0" w:after="0"/>
              <w:jc w:val="both"/>
              <w:rPr>
                <w:rFonts w:ascii="Times New Roman" w:hAnsi="Times New Roman"/>
                <w:b/>
                <w:bCs/>
              </w:rPr>
            </w:pPr>
            <w:r>
              <w:rPr>
                <w:rFonts w:eastAsia="Calibri" w:cs="Times New Roman" w:ascii="Times New Roman" w:hAnsi="Times New Roman"/>
                <w:b/>
                <w:bCs/>
                <w:kern w:val="0"/>
                <w:sz w:val="20"/>
                <w:szCs w:val="20"/>
                <w:lang w:val="pl-PL" w:eastAsia="pl-PL" w:bidi="ar-SA"/>
              </w:rPr>
              <w:t xml:space="preserve"> </w:t>
            </w:r>
            <w:r>
              <w:rPr>
                <w:rFonts w:eastAsia="Calibri" w:cs="Times New Roman" w:ascii="Times New Roman" w:hAnsi="Times New Roman"/>
                <w:b/>
                <w:bCs/>
                <w:color w:val="000000"/>
                <w:kern w:val="0"/>
                <w:sz w:val="20"/>
                <w:szCs w:val="20"/>
                <w:lang w:val="pl-PL" w:eastAsia="pl-PL" w:bidi="ar-SA"/>
              </w:rPr>
              <w:t>Do 31  sierpnia 2027 roku.</w:t>
            </w:r>
          </w:p>
        </w:tc>
      </w:tr>
      <w:tr>
        <w:trPr/>
        <w:tc>
          <w:tcPr>
            <w:tcW w:w="3071" w:type="dxa"/>
            <w:tcBorders>
              <w:bottom w:val="nil"/>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Określenie położenia oraz istotnych cech domu jednorodzinnego albo budynku, w którym ma znajdować się lokal mieszkalny będący przedmiotem umowy rezerwacyjnej albo umowy deweloperskiej, albo umowy, o której mowa w art. 2 ust. 1 pkt 2, 3 lub 5 lub umów, o których mowa w art. 2 ust. 2 ustawy z dnia 20.05.2021 o ochronie praw nabywcy lokalu mieszkalnego lub domu jednorodzinnego oraz o Deweloperskim Funduszu Gwarancyjnym</w:t>
            </w:r>
          </w:p>
        </w:tc>
        <w:tc>
          <w:tcPr>
            <w:tcW w:w="3068" w:type="dxa"/>
            <w:vMerge w:val="restart"/>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Liczba kondygnacji</w:t>
            </w:r>
          </w:p>
        </w:tc>
        <w:tc>
          <w:tcPr>
            <w:tcW w:w="2905" w:type="dxa"/>
            <w:vMerge w:val="restart"/>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3 kondygnacje, w tym ostatnia jako poddasze użytkowe.</w:t>
            </w:r>
          </w:p>
        </w:tc>
      </w:tr>
      <w:tr>
        <w:trPr>
          <w:trHeight w:val="56" w:hRule="atLeast"/>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vMerge w:val="continue"/>
            <w:tcBorders/>
          </w:tcPr>
          <w:p>
            <w:pPr>
              <w:pStyle w:val="Normal"/>
              <w:widowControl w:val="false"/>
              <w:suppressAutoHyphens w:val="true"/>
              <w:spacing w:lineRule="auto" w:line="240" w:before="144" w:after="144"/>
              <w:jc w:val="left"/>
              <w:rPr>
                <w:rFonts w:ascii="Times New Roman" w:hAnsi="Times New Roman" w:eastAsia="Times New Roman" w:cs="Times New Roman"/>
              </w:rPr>
            </w:pPr>
            <w:r>
              <w:rPr>
                <w:rFonts w:eastAsia="Times New Roman" w:cs="Times New Roman" w:ascii="Times New Roman" w:hAnsi="Times New Roman"/>
              </w:rPr>
            </w:r>
          </w:p>
        </w:tc>
        <w:tc>
          <w:tcPr>
            <w:tcW w:w="2905" w:type="dxa"/>
            <w:vMerge w:val="continue"/>
            <w:tcBorders/>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r>
      <w:tr>
        <w:trPr/>
        <w:tc>
          <w:tcPr>
            <w:tcW w:w="3071" w:type="dxa"/>
            <w:tcBorders>
              <w:top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 xml:space="preserve">Technologia wykonania </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Szkieletowo – murowana (żelbet, gazobeton, silikat akustyczny)</w:t>
            </w:r>
          </w:p>
        </w:tc>
      </w:tr>
      <w:tr>
        <w:trPr/>
        <w:tc>
          <w:tcPr>
            <w:tcW w:w="3071" w:type="dxa"/>
            <w:tcBorders>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Standard prac wykończeniowych w części wspólnej budynku i terenie wokół niego, stanowiącym część wspólną nieruchomości</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Nie dotyczy</w:t>
            </w:r>
          </w:p>
        </w:tc>
      </w:tr>
      <w:tr>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Liczba lokali w budynku</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2</w:t>
            </w:r>
          </w:p>
        </w:tc>
      </w:tr>
      <w:tr>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Liczba miejsc garażowych i postojowych</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2 garaże wbudowane w bryle budynku</w:t>
            </w:r>
          </w:p>
        </w:tc>
      </w:tr>
      <w:tr>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Dostępne media w budynku</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ogrzewania podłogowego</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rekuperacji, bez rekuperatora</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przygotowanie do instalacji  fotowoltaicznej</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elektryczna trójfazowa i niskoprądowa w tym DVBT – sygnał naziemnej telewizji cyfrowej, satelitarnej i kablowej</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sanitarna i kanalizacyjna</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grzewcza – pompa ciepła</w:t>
            </w:r>
          </w:p>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 instalacja światłowodowa</w:t>
            </w:r>
          </w:p>
        </w:tc>
      </w:tr>
      <w:tr>
        <w:trPr/>
        <w:tc>
          <w:tcPr>
            <w:tcW w:w="3071" w:type="dxa"/>
            <w:tcBorders>
              <w:top w:val="nil"/>
            </w:tcBorders>
            <w:shd w:color="auto" w:fill="F2F2F2" w:val="clear"/>
          </w:tcPr>
          <w:p>
            <w:pPr>
              <w:pStyle w:val="Normal"/>
              <w:widowControl w:val="false"/>
              <w:suppressAutoHyphens w:val="true"/>
              <w:spacing w:lineRule="auto" w:line="240" w:before="144" w:after="144"/>
              <w:jc w:val="left"/>
              <w:rPr>
                <w:rFonts w:ascii="Times New Roman" w:hAnsi="Times New Roman"/>
                <w:b/>
              </w:rPr>
            </w:pPr>
            <w:r>
              <w:rPr>
                <w:rFonts w:ascii="Times New Roman" w:hAnsi="Times New Roman"/>
                <w:b/>
              </w:rPr>
            </w:r>
          </w:p>
        </w:tc>
        <w:tc>
          <w:tcPr>
            <w:tcW w:w="3068" w:type="dxa"/>
            <w:tcBorders/>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Dostęp do drogi publicznej</w:t>
            </w:r>
          </w:p>
        </w:tc>
        <w:tc>
          <w:tcPr>
            <w:tcW w:w="2905" w:type="dxa"/>
            <w:tcBorders/>
          </w:tcPr>
          <w:p>
            <w:pPr>
              <w:pStyle w:val="Normal"/>
              <w:widowControl w:val="false"/>
              <w:suppressAutoHyphens w:val="true"/>
              <w:spacing w:lineRule="auto" w:line="240" w:before="144" w:after="144"/>
              <w:jc w:val="left"/>
              <w:rPr>
                <w:rFonts w:ascii="Times New Roman" w:hAnsi="Times New Roman"/>
                <w:b/>
              </w:rPr>
            </w:pPr>
            <w:r>
              <w:rPr>
                <w:rFonts w:eastAsia="Calibri" w:cs="" w:ascii="Times New Roman" w:hAnsi="Times New Roman"/>
                <w:b/>
                <w:kern w:val="0"/>
                <w:sz w:val="20"/>
                <w:szCs w:val="20"/>
                <w:lang w:val="pl-PL" w:eastAsia="pl-PL" w:bidi="ar-SA"/>
              </w:rPr>
              <w:t>Bezpośredni wjazd od ulicy Szlacheckiej.</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Określenie usytuowania lokalu mieszkalnego w budynku, jeżeli przedsięwzięcie deweloperskie albo zadanie inwestycyjne dotyczy lokali mieszkalnych</w:t>
            </w:r>
          </w:p>
        </w:tc>
        <w:tc>
          <w:tcPr>
            <w:tcW w:w="5973" w:type="dxa"/>
            <w:gridSpan w:val="2"/>
            <w:tcBorders/>
          </w:tcPr>
          <w:p>
            <w:pPr>
              <w:pStyle w:val="Normal"/>
              <w:widowControl w:val="false"/>
              <w:suppressAutoHyphens w:val="true"/>
              <w:spacing w:lineRule="auto" w:line="240" w:before="144" w:after="144"/>
              <w:jc w:val="left"/>
              <w:rPr>
                <w:color w:val="000000"/>
              </w:rPr>
            </w:pPr>
            <w:r>
              <w:rPr>
                <w:rFonts w:eastAsia="Times New Roman" w:cs="Times New Roman" w:ascii="Times New Roman" w:hAnsi="Times New Roman"/>
                <w:b/>
                <w:bCs/>
                <w:color w:val="000000"/>
                <w:kern w:val="0"/>
                <w:sz w:val="20"/>
                <w:szCs w:val="20"/>
                <w:lang w:val="pl-PL" w:eastAsia="pl-PL" w:bidi="ar-SA"/>
              </w:rPr>
              <w:t>Numer lokalu mieszkalnego: ………..</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Określenie powierzchni użytkowej i układu pomieszczeń oraz zakresu i standardu prac wykończeniowych, do których wykonania zobowiązuje się deweloper</w:t>
            </w:r>
          </w:p>
        </w:tc>
        <w:tc>
          <w:tcPr>
            <w:tcW w:w="5973" w:type="dxa"/>
            <w:gridSpan w:val="2"/>
            <w:tcBorders/>
          </w:tcPr>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Lokal mieszkalny numer ……… o projektowanej powierzchni użytkowej ……. m</w:t>
            </w:r>
            <w:r>
              <w:rPr>
                <w:rFonts w:eastAsia="Calibri" w:cs="Times New Roman" w:ascii="Times New Roman" w:hAnsi="Times New Roman"/>
                <w:b/>
                <w:bCs/>
                <w:color w:val="000000"/>
                <w:kern w:val="0"/>
                <w:sz w:val="20"/>
                <w:szCs w:val="20"/>
                <w:vertAlign w:val="superscript"/>
                <w:lang w:val="pl-PL" w:eastAsia="pl-PL" w:bidi="ar-SA"/>
              </w:rPr>
              <w:t>2</w:t>
            </w:r>
            <w:r>
              <w:rPr>
                <w:rFonts w:eastAsia="Calibri" w:cs="Times New Roman" w:ascii="Times New Roman" w:hAnsi="Times New Roman"/>
                <w:b/>
                <w:bCs/>
                <w:color w:val="000000"/>
                <w:kern w:val="0"/>
                <w:sz w:val="20"/>
                <w:szCs w:val="20"/>
                <w:lang w:val="pl-PL" w:eastAsia="pl-PL" w:bidi="ar-SA"/>
              </w:rPr>
              <w:t xml:space="preserve"> składa się z:</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u w:val="single"/>
                <w:lang w:val="pl-PL" w:eastAsia="pl-PL" w:bidi="ar-SA"/>
              </w:rPr>
              <w:t>PARTER</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1. WIATROŁAP…………………..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2. KOMUNIKACJA…………………..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3. POKÓJ DZIENNY Z KUCHNIĄ…………………..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4. ŁAZIENKA…………………..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5. POM. TECHNICZNE…………………..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6. GARAŻ…………………..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SUMA:…………………m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u w:val="single"/>
                <w:lang w:val="pl-PL" w:eastAsia="pl-PL" w:bidi="ar-SA"/>
              </w:rPr>
              <w:t>PIĘTRO</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1. KOMUNIKACJA…………………..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2.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3.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4. ŁAZIENKA…………………..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5.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6.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SUMA:…………………m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u w:val="single"/>
                <w:lang w:val="pl-PL" w:eastAsia="pl-PL" w:bidi="ar-SA"/>
              </w:rPr>
              <w:t>PODDASZE UŻYTKOWE</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1. POKÓJ………………….. 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SUMA:…………………m</w:t>
            </w:r>
            <w:r>
              <w:rPr>
                <w:rFonts w:eastAsia="Calibri" w:cs="Times New Roman" w:ascii="Times New Roman" w:hAnsi="Times New Roman"/>
                <w:b/>
                <w:bCs/>
                <w:color w:val="000000"/>
                <w:kern w:val="0"/>
                <w:sz w:val="20"/>
                <w:szCs w:val="20"/>
                <w:vertAlign w:val="superscript"/>
                <w:lang w:val="pl-PL" w:eastAsia="pl-PL" w:bidi="ar-SA"/>
              </w:rPr>
              <w:t>2</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vertAlign w:val="superscript"/>
              </w:rPr>
            </w:pPr>
            <w:r>
              <w:rPr>
                <w:rFonts w:cs="Times New Roman" w:ascii="Times New Roman" w:hAnsi="Times New Roman"/>
                <w:b/>
                <w:bCs/>
                <w:color w:val="000000"/>
                <w:vertAlign w:val="superscript"/>
              </w:rPr>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vertAlign w:val="superscript"/>
              </w:rPr>
            </w:pPr>
            <w:r>
              <w:rPr>
                <w:rFonts w:cs="Times New Roman" w:ascii="Times New Roman" w:hAnsi="Times New Roman"/>
                <w:b/>
                <w:bCs/>
                <w:color w:val="000000"/>
                <w:vertAlign w:val="superscript"/>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Standard wykończenia:</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podkład betonowy pod posadzki - zatarty na gładko,</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xml:space="preserve">- ścianki działowe – z płyt gipsowych typu Pro Monta lub silikat lub beton komórkowy </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tynki - gipsowe zatarte na gładko,</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xml:space="preserve">- okna - z profili PCV minimum pięciokomorowych, w kolorze białym wewnątrz , na zewnątrz kolor grafitowy, typowe, pakiet </w:t>
            </w:r>
            <w:r>
              <w:rPr>
                <w:rFonts w:eastAsia="Calibri" w:cs="Times New Roman" w:ascii="Times New Roman" w:hAnsi="Times New Roman"/>
                <w:b/>
                <w:bCs/>
                <w:color w:val="000000"/>
                <w:kern w:val="0"/>
                <w:sz w:val="20"/>
                <w:szCs w:val="20"/>
                <w:lang w:val="pl-PL" w:eastAsia="pl-PL" w:bidi="ar-SA"/>
              </w:rPr>
              <w:t>trzy</w:t>
            </w:r>
            <w:r>
              <w:rPr>
                <w:rFonts w:eastAsia="Calibri" w:cs="Times New Roman" w:ascii="Times New Roman" w:hAnsi="Times New Roman"/>
                <w:b/>
                <w:bCs/>
                <w:color w:val="000000"/>
                <w:kern w:val="0"/>
                <w:sz w:val="20"/>
                <w:szCs w:val="20"/>
                <w:lang w:val="pl-PL" w:eastAsia="pl-PL" w:bidi="ar-SA"/>
              </w:rPr>
              <w:t>szybowy hermetyczny, okucia obwiedniowe, nawiewniki okienne wg. niezbędnych wymagań,</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drzwi wejściowe do budynku wzmocnione o podwyższonej odporności na włamanie, z dwoma zamkami, wykończone okleiną grafitową lub inną,</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brama gara</w:t>
            </w:r>
            <w:bookmarkStart w:id="0" w:name="_GoBack"/>
            <w:bookmarkEnd w:id="0"/>
            <w:r>
              <w:rPr>
                <w:rFonts w:eastAsia="Calibri" w:cs="Times New Roman" w:ascii="Times New Roman" w:hAnsi="Times New Roman"/>
                <w:b/>
                <w:bCs/>
                <w:color w:val="000000"/>
                <w:kern w:val="0"/>
                <w:sz w:val="20"/>
                <w:szCs w:val="20"/>
                <w:lang w:val="pl-PL" w:eastAsia="pl-PL" w:bidi="ar-SA"/>
              </w:rPr>
              <w:t>żowa automatyczna ocieplana z okleiną w kolorze białym wewnątrz oraz w kolorze grafitowym na zewnątrz</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sanitarna: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(ruraż) wody zimnej i ciepłej, z podejściami do baterii i zaworu odcinającego dopływ wody zimnej do pralki, spłuczki WC, zmywarki, zewnętrzny punkt wody zimnej na elewacji południowo-zachodniej - zaślepione korkami,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(ruraż) kanalizacji sanitarnej - odpływy wody z przyborów w kuchni, łazience i kotłowni,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xml:space="preserve">- Instalacja centralnego ogrzewania podłogowa w kuchni, łazienkach, pokojach i korytarzu </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wentylacji grawitacyjnej w kuchni;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kominowa do kominka (do własnego montażu) w pokoju dziennym;</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wentylacji mechanicznej w całym budynku bez montażu urządzenia – rekuperatora</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Instalacja elektryczna trójfazowa i niskoprądowa (podtynkowa):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oświetlenia z wypustami sufitowymi bez osprzętu</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gniazd wtykowych 230V bez osprzętu,</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trójfazowa („siłowa”)- w kuchni do podłączenia kuchenki elektrycznej (indukcyjnej lub z ceramiczną płytą grzejną),</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telefoniczna - gniazdo w przedpokoju lub kotłowni,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telewizyjna i internetowa - jedno gniazdo we wszystkich pokojach;</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wideo domofonowa,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dzwonkowa.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ogrzewania pompą ciepła wraz z urządzeniem – pompą ciepła</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Instalacja klimatyzacji w pokoju dziennym na kondygnacji parteru</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Wykończenie zewnętrzne:</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utwardzenia kostką brukową typu „polbruk”</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Ogrodzenie posesji – w części panelowe oraz w części murowane bez bramy wjazdowej</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Tereny zielone urządzone w formie trawników</w:t>
            </w:r>
          </w:p>
          <w:p>
            <w:pPr>
              <w:pStyle w:val="Normal"/>
              <w:widowControl w:val="false"/>
              <w:shd w:val="clear" w:color="auto" w:fill="FFFFFF"/>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Uwaga! Zakres robót w lokalu nie obejmuje:</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ułożenia wierzchniej warstwy podłogi w pomieszczeniach,</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wykonania malowań ścian i sufitów,</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montażu armatury (baterii, zaworów do pralki, spłuczki, zmywarki) i przyborów sanitarnych (zlewozmywaka, wanny, umywalki, miski sedesowej ze spłuczką); podejścia do tych urządzeń tzw. „białego montażu” będą „zaślepione” korkami,</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montażu kuchenki elektrycznej</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montażu bramy wjazdowej</w:t>
            </w:r>
          </w:p>
          <w:p>
            <w:pPr>
              <w:pStyle w:val="Normal"/>
              <w:widowControl w:val="false"/>
              <w:shd w:val="clear" w:color="auto" w:fill="FFFFFF"/>
              <w:suppressAutoHyphens w:val="true"/>
              <w:spacing w:lineRule="auto" w:line="240" w:before="0" w:after="0"/>
              <w:jc w:val="both"/>
              <w:rPr>
                <w:color w:val="000000"/>
              </w:rPr>
            </w:pPr>
            <w:r>
              <w:rPr>
                <w:rFonts w:eastAsia="Calibri" w:cs="Times New Roman" w:ascii="Times New Roman" w:hAnsi="Times New Roman"/>
                <w:b/>
                <w:bCs/>
                <w:color w:val="000000"/>
                <w:kern w:val="0"/>
                <w:sz w:val="20"/>
                <w:szCs w:val="20"/>
                <w:lang w:val="pl-PL" w:eastAsia="pl-PL" w:bidi="ar-SA"/>
              </w:rPr>
              <w:t>- oświetlenia zewnętrznego</w:t>
            </w:r>
          </w:p>
        </w:tc>
      </w:tr>
      <w:tr>
        <w:trPr>
          <w:trHeight w:val="1035" w:hRule="atLeast"/>
        </w:trPr>
        <w:tc>
          <w:tcPr>
            <w:tcW w:w="3071" w:type="dxa"/>
            <w:tcBorders/>
            <w:shd w:color="auto" w:fill="F2F2F2" w:val="clear"/>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Data wydania zaświadczenia o samodzielności lokalu mieszkalnego</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r>
        <w:trPr>
          <w:trHeight w:val="1050" w:hRule="atLeast"/>
        </w:trPr>
        <w:tc>
          <w:tcPr>
            <w:tcW w:w="3071" w:type="dxa"/>
            <w:tcBorders/>
            <w:shd w:color="auto" w:fill="F2F2F2" w:val="clear"/>
          </w:tcPr>
          <w:p>
            <w:pPr>
              <w:pStyle w:val="Normal"/>
              <w:widowControl w:val="false"/>
              <w:suppressAutoHyphens w:val="true"/>
              <w:spacing w:lineRule="auto" w:line="240" w:before="144" w:after="144"/>
              <w:jc w:val="left"/>
              <w:rPr>
                <w:rFonts w:ascii="Times New Roman" w:hAnsi="Times New Roman"/>
              </w:rPr>
            </w:pPr>
            <w:r>
              <w:rPr>
                <w:rFonts w:eastAsia="Times New Roman" w:cs="Times New Roman" w:ascii="Times New Roman" w:hAnsi="Times New Roman"/>
                <w:kern w:val="0"/>
                <w:sz w:val="20"/>
                <w:szCs w:val="20"/>
                <w:lang w:val="pl-PL" w:eastAsia="pl-PL" w:bidi="ar-SA"/>
              </w:rPr>
              <w:t>Data ustanowienia odrębnej własności lokalu mieszkalnego</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Informacje o lokalu użytkowym nabywanym równocześnie z lokalem mieszkalnym albo domem jednorodzinnym</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 xml:space="preserve">Cenę lokalu użytkowego albo ułamkowej części własności lokalu użytkowego </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r>
        <w:trPr/>
        <w:tc>
          <w:tcPr>
            <w:tcW w:w="3071" w:type="dxa"/>
            <w:tcBorders/>
            <w:shd w:color="auto" w:fill="F2F2F2" w:val="clear"/>
          </w:tcPr>
          <w:p>
            <w:pPr>
              <w:pStyle w:val="Normal"/>
              <w:widowControl w:val="false"/>
              <w:suppressAutoHyphens w:val="true"/>
              <w:spacing w:lineRule="auto" w:line="240" w:before="144" w:after="144"/>
              <w:jc w:val="both"/>
              <w:rPr>
                <w:rFonts w:ascii="Times New Roman" w:hAnsi="Times New Roman"/>
              </w:rPr>
            </w:pPr>
            <w:r>
              <w:rPr>
                <w:rFonts w:eastAsia="Times New Roman" w:cs="Times New Roman" w:ascii="Times New Roman" w:hAnsi="Times New Roman"/>
                <w:kern w:val="0"/>
                <w:sz w:val="20"/>
                <w:szCs w:val="20"/>
                <w:lang w:val="pl-PL" w:eastAsia="pl-PL" w:bidi="ar-SA"/>
              </w:rPr>
              <w:t>Termin, do którego nastąpi przeniesienie prawa własności lokalu użytkowego albo ułamkowej części własności lokalu użytkowego</w:t>
            </w:r>
          </w:p>
        </w:tc>
        <w:tc>
          <w:tcPr>
            <w:tcW w:w="5973" w:type="dxa"/>
            <w:gridSpan w:val="2"/>
            <w:tcBorders/>
          </w:tcPr>
          <w:p>
            <w:pPr>
              <w:pStyle w:val="Normal"/>
              <w:widowControl w:val="false"/>
              <w:suppressAutoHyphens w:val="true"/>
              <w:spacing w:lineRule="auto" w:line="240" w:before="144" w:after="144"/>
              <w:jc w:val="left"/>
              <w:rPr>
                <w:rFonts w:ascii="Times New Roman" w:hAnsi="Times New Roman" w:eastAsia="Times New Roman" w:cs="Times New Roman"/>
                <w:b/>
              </w:rPr>
            </w:pPr>
            <w:r>
              <w:rPr>
                <w:rFonts w:eastAsia="Times New Roman" w:cs="Times New Roman" w:ascii="Times New Roman" w:hAnsi="Times New Roman"/>
                <w:b/>
                <w:kern w:val="0"/>
                <w:sz w:val="20"/>
                <w:szCs w:val="20"/>
                <w:lang w:val="pl-PL" w:eastAsia="pl-PL" w:bidi="ar-SA"/>
              </w:rPr>
              <w:t>Nie dotyczy</w:t>
            </w:r>
          </w:p>
        </w:tc>
      </w:tr>
    </w:tbl>
    <w:p>
      <w:pPr>
        <w:pStyle w:val="Normal"/>
        <w:spacing w:lineRule="auto" w:line="240" w:before="144" w:after="144"/>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t>Podpis osoby upoważnionej do reprezentacji dewelopera</w:t>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right"/>
        <w:rPr>
          <w:rFonts w:ascii="Times New Roman" w:hAnsi="Times New Roman" w:eastAsia="Times New Roman" w:cs="Times New Roman"/>
          <w:b/>
          <w:sz w:val="20"/>
          <w:szCs w:val="20"/>
        </w:rPr>
      </w:pPr>
      <w:r>
        <w:rPr>
          <w:rFonts w:eastAsia="Times New Roman" w:cs="Times New Roman" w:ascii="Times New Roman" w:hAnsi="Times New Roman"/>
          <w:b/>
          <w:sz w:val="20"/>
          <w:szCs w:val="20"/>
        </w:rPr>
        <w:t>…</w:t>
      </w:r>
      <w:r>
        <w:rPr>
          <w:rFonts w:eastAsia="Times New Roman" w:cs="Times New Roman" w:ascii="Times New Roman" w:hAnsi="Times New Roman"/>
          <w:b/>
          <w:sz w:val="20"/>
          <w:szCs w:val="20"/>
        </w:rPr>
        <w:t>...………………………………….</w:t>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mc:AlternateContent>
          <mc:Choice Requires="wps">
            <w:drawing>
              <wp:anchor behindDoc="0" distT="14605" distB="14605" distL="14605" distR="14605" simplePos="0" locked="0" layoutInCell="1" allowOverlap="1" relativeHeight="3" wp14:anchorId="3DD5D02F">
                <wp:simplePos x="0" y="0"/>
                <wp:positionH relativeFrom="column">
                  <wp:posOffset>-800100</wp:posOffset>
                </wp:positionH>
                <wp:positionV relativeFrom="paragraph">
                  <wp:posOffset>10160</wp:posOffset>
                </wp:positionV>
                <wp:extent cx="7543800" cy="0"/>
                <wp:effectExtent l="14605" t="14605" r="14605" b="14605"/>
                <wp:wrapNone/>
                <wp:docPr id="2" name="Line 20"/>
                <a:graphic xmlns:a="http://schemas.openxmlformats.org/drawingml/2006/main">
                  <a:graphicData uri="http://schemas.microsoft.com/office/word/2010/wordprocessingShape">
                    <wps:wsp>
                      <wps:cNvSpPr/>
                      <wps:spPr>
                        <a:xfrm>
                          <a:off x="0" y="0"/>
                          <a:ext cx="7543800" cy="0"/>
                        </a:xfrm>
                        <a:prstGeom prst="line">
                          <a:avLst/>
                        </a:prstGeom>
                        <a:ln w="28575">
                          <a:solidFill>
                            <a:srgbClr val="000000"/>
                          </a:solidFill>
                          <a:round/>
                        </a:ln>
                      </wps:spPr>
                      <wps:style>
                        <a:lnRef idx="0"/>
                        <a:fillRef idx="0"/>
                        <a:effectRef idx="0"/>
                        <a:fontRef idx="minor"/>
                      </wps:style>
                      <wps:bodyPr/>
                    </wps:wsp>
                  </a:graphicData>
                </a:graphic>
              </wp:anchor>
            </w:drawing>
          </mc:Choice>
          <mc:Fallback>
            <w:pict>
              <v:line id="shape_0" from="-63pt,0.8pt" to="530.95pt,0.8pt" ID="Line 20" stroked="t" o:allowincell="f" style="position:absolute" wp14:anchorId="3DD5D02F">
                <v:stroke color="black" weight="28440" joinstyle="round" endcap="flat"/>
                <v:fill o:detectmouseclick="t" on="false"/>
                <w10:wrap type="none"/>
              </v:line>
            </w:pict>
          </mc:Fallback>
        </mc:AlternateContent>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t>Załączniki:</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Rzut kondygnacji z zaznaczeniem lokalu mieszkalnego.</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Wzór umowy deweloperskiej lub umowy, o której mowa w art. 2 ust. 1 pkt 2, 3 lub 5 ustawy z dnia 20 maja 2021r. o ochronie praw nabywcy lokalu mieszkalnego lub domu jednorodzinnego oraz o Deweloperskim Funduszu Gwarancyjnym.</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 Uchwała Nr 53/XVI/03 z dnia 2003-06-18 w sprawie: zatwierdzenia miejscowego planu zagospodarowania przestrzennego miasta Łomży w części dotyczącej terenów położonych pomiędzy ulicami: Zawadzka, Sikorskiego, Szosa Zambrowska i terenami zabudowy mieszkaniowej wielorodzinnej – Obszar P5</w:t>
      </w:r>
    </w:p>
    <w:p>
      <w:pPr>
        <w:pStyle w:val="Normal"/>
        <w:spacing w:lineRule="auto" w:line="240" w:before="144" w:after="14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144" w:after="144"/>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mc:AlternateContent>
          <mc:Choice Requires="wps">
            <w:drawing>
              <wp:anchor behindDoc="0" distT="14605" distB="14605" distL="14605" distR="14605" simplePos="0" locked="0" layoutInCell="1" allowOverlap="1" relativeHeight="4" wp14:anchorId="7AE05BA1">
                <wp:simplePos x="0" y="0"/>
                <wp:positionH relativeFrom="column">
                  <wp:posOffset>-800100</wp:posOffset>
                </wp:positionH>
                <wp:positionV relativeFrom="paragraph">
                  <wp:posOffset>84455</wp:posOffset>
                </wp:positionV>
                <wp:extent cx="7543800" cy="635"/>
                <wp:effectExtent l="14605" t="14605" r="14605" b="14605"/>
                <wp:wrapNone/>
                <wp:docPr id="3" name="Line 19"/>
                <a:graphic xmlns:a="http://schemas.openxmlformats.org/drawingml/2006/main">
                  <a:graphicData uri="http://schemas.microsoft.com/office/word/2010/wordprocessingShape">
                    <wps:wsp>
                      <wps:cNvSpPr/>
                      <wps:spPr>
                        <a:xfrm>
                          <a:off x="0" y="0"/>
                          <a:ext cx="7543800" cy="720"/>
                        </a:xfrm>
                        <a:prstGeom prst="line">
                          <a:avLst/>
                        </a:prstGeom>
                        <a:ln w="28575">
                          <a:solidFill>
                            <a:srgbClr val="000000"/>
                          </a:solidFill>
                          <a:round/>
                        </a:ln>
                      </wps:spPr>
                      <wps:style>
                        <a:lnRef idx="0"/>
                        <a:fillRef idx="0"/>
                        <a:effectRef idx="0"/>
                        <a:fontRef idx="minor"/>
                      </wps:style>
                      <wps:bodyPr/>
                    </wps:wsp>
                  </a:graphicData>
                </a:graphic>
              </wp:anchor>
            </w:drawing>
          </mc:Choice>
          <mc:Fallback>
            <w:pict>
              <v:line id="shape_0" from="-63pt,6.65pt" to="530.95pt,6.65pt" ID="Line 19" stroked="t" o:allowincell="f" style="position:absolute" wp14:anchorId="7AE05BA1">
                <v:stroke color="black" weight="28440" joinstyle="round" endcap="flat"/>
                <v:fill o:detectmouseclick="t" on="false"/>
                <w10:wrap type="none"/>
              </v:line>
            </w:pict>
          </mc:Fallback>
        </mc:AlternateContent>
      </w:r>
    </w:p>
    <w:p>
      <w:pPr>
        <w:pStyle w:val="Normal"/>
        <w:widowControl/>
        <w:suppressAutoHyphens w:val="true"/>
        <w:bidi w:val="0"/>
        <w:spacing w:lineRule="auto" w:line="259" w:before="0" w:after="160"/>
        <w:jc w:val="left"/>
        <w:rPr/>
      </w:pPr>
      <w:r>
        <w:rPr/>
      </w:r>
    </w:p>
    <w:sectPr>
      <w:headerReference w:type="even" r:id="rId25"/>
      <w:headerReference w:type="default" r:id="rId26"/>
      <w:headerReference w:type="first" r:id="rId27"/>
      <w:footerReference w:type="even" r:id="rId28"/>
      <w:footerReference w:type="default" r:id="rId29"/>
      <w:footerReference w:type="first" r:id="rId30"/>
      <w:footnotePr>
        <w:numFmt w:val="decimal"/>
        <w:numRestart w:val="eachPage"/>
      </w:footnotePr>
      <w:type w:val="nextPage"/>
      <w:pgSz w:w="11906" w:h="16838"/>
      <w:pgMar w:left="1417" w:right="1417" w:gutter="0" w:header="1417" w:top="1474" w:footer="709" w:bottom="1417"/>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Carlito">
    <w:altName w:val="Calibri"/>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01768166"/>
    </w:sdtPr>
    <w:sdtContent>
      <w:p>
        <w:pPr>
          <w:pStyle w:val="Stopka"/>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22</w:t>
        </w:r>
        <w:r>
          <w:rPr>
            <w:sz w:val="24"/>
            <w:rFonts w:cs="Times New Roman" w:ascii="Times New Roman" w:hAnsi="Times New Roman"/>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jc w:val="center"/>
      <w:rPr/>
    </w:pPr>
    <w:r>
      <w:rPr/>
      <w:fldChar w:fldCharType="begin"/>
    </w:r>
    <w:r>
      <w:rPr/>
      <w:instrText xml:space="preserve"> PAGE </w:instrText>
    </w:r>
    <w:r>
      <w:rPr/>
      <w:fldChar w:fldCharType="separate"/>
    </w:r>
    <w:r>
      <w:rPr/>
      <w:t>1</w:t>
    </w:r>
    <w:r>
      <w:rPr/>
      <w:fldChar w:fldCharType="end"/>
    </w:r>
  </w:p>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284" w:hanging="284"/>
        <w:jc w:val="both"/>
        <w:rPr>
          <w:rFonts w:ascii="Times New Roman" w:hAnsi="Times New Roman"/>
          <w:sz w:val="18"/>
          <w:szCs w:val="18"/>
        </w:rPr>
      </w:pPr>
      <w:r>
        <w:rPr>
          <w:rStyle w:val="Znakiprzypiswdolnych"/>
        </w:rPr>
        <w:t>1)</w:t>
      </w:r>
      <w:r>
        <w:rPr>
          <w:rStyle w:val="Znakiprzypiswdolnych"/>
        </w:rPr>
        <w:tab/>
        <w:t>1)1)1)1)1)1)1)1)</w:t>
      </w:r>
      <w:r>
        <w:rPr>
          <w:rStyle w:val="FootnoteCharacters"/>
        </w:rPr>
        <w:t>1)</w:t>
      </w:r>
      <w:r>
        <w:rPr>
          <w:rStyle w:val="Znakiprzypiswdolnych"/>
        </w:rPr>
        <w:t>1)1)1)1)1)</w:t>
      </w:r>
      <w:r>
        <w:rPr>
          <w:rStyle w:val="Znakiprzypiswdolnych"/>
          <w:rFonts w:ascii="Times New Roman" w:hAnsi="Times New Roman"/>
          <w:sz w:val="18"/>
          <w:szCs w:val="18"/>
        </w:rPr>
        <w:t>1)</w:t>
      </w:r>
      <w:r>
        <w:rPr>
          <w:rFonts w:ascii="Times New Roman" w:hAnsi="Times New Roman"/>
          <w:sz w:val="18"/>
          <w:szCs w:val="18"/>
        </w:rPr>
        <w:t>Jeżeli działka nie posiada adresu, należy opisowo określić jej położenie.</w:t>
      </w:r>
    </w:p>
  </w:footnote>
  <w:footnote w:id="3">
    <w:p>
      <w:pPr>
        <w:pStyle w:val="Przypisdolny"/>
        <w:widowControl w:val="false"/>
        <w:ind w:left="284" w:hanging="284"/>
        <w:jc w:val="both"/>
        <w:rPr>
          <w:rFonts w:ascii="Times New Roman" w:hAnsi="Times New Roman" w:cs="Times New Roman"/>
          <w:sz w:val="18"/>
          <w:szCs w:val="18"/>
        </w:rPr>
      </w:pPr>
      <w:r>
        <w:rPr>
          <w:rStyle w:val="Znakiprzypiswdolnych"/>
        </w:rPr>
        <w:t>2)</w:t>
      </w:r>
      <w:r>
        <w:rPr>
          <w:rStyle w:val="Znakiprzypiswdolnych"/>
        </w:rPr>
        <w:tab/>
        <w:t>2)2)2)2)2)2)2)2)</w:t>
      </w:r>
      <w:r>
        <w:rPr>
          <w:rStyle w:val="FootnoteCharacters"/>
        </w:rPr>
        <w:t>2)</w:t>
      </w:r>
      <w:r>
        <w:rPr>
          <w:rStyle w:val="Znakiprzypiswdolnych"/>
        </w:rPr>
        <w:t>2)2)2)2)2)</w:t>
      </w:r>
      <w:r>
        <w:rPr>
          <w:rStyle w:val="Znakiprzypiswdolnych"/>
          <w:rFonts w:ascii="Times New Roman" w:hAnsi="Times New Roman"/>
          <w:sz w:val="18"/>
          <w:szCs w:val="18"/>
        </w:rPr>
        <w:t>2)</w:t>
      </w:r>
      <w:r>
        <w:rPr>
          <w:rFonts w:cs="Times New Roman" w:ascii="Times New Roman" w:hAnsi="Times New Roman"/>
          <w:sz w:val="18"/>
          <w:szCs w:val="18"/>
        </w:rPr>
        <w:t>W szczególności imię i nazwisko albo firma właściciela lub użytkownika wieczystego oraz istniejące obciążenia na nieruchomości.</w:t>
      </w:r>
    </w:p>
  </w:footnote>
  <w:footnote w:id="4">
    <w:p>
      <w:pPr>
        <w:pStyle w:val="Przypisdolny"/>
        <w:widowControl w:val="false"/>
        <w:ind w:left="284" w:hanging="284"/>
        <w:jc w:val="both"/>
        <w:rPr>
          <w:rFonts w:ascii="Times New Roman" w:hAnsi="Times New Roman" w:cs="Times New Roman"/>
          <w:sz w:val="18"/>
          <w:szCs w:val="18"/>
        </w:rPr>
      </w:pPr>
      <w:r>
        <w:rPr>
          <w:rStyle w:val="Znakiprzypiswdolnych"/>
        </w:rPr>
        <w:t>3)</w:t>
      </w:r>
      <w:r>
        <w:rPr>
          <w:rStyle w:val="Znakiprzypiswdolnych"/>
        </w:rPr>
        <w:tab/>
        <w:t>3)3)3)3)3)3)3)3)</w:t>
      </w:r>
      <w:r>
        <w:rPr>
          <w:rStyle w:val="FootnoteCharacters"/>
        </w:rPr>
        <w:t>3)</w:t>
      </w:r>
      <w:r>
        <w:rPr>
          <w:rStyle w:val="Znakiprzypiswdolnych"/>
        </w:rPr>
        <w:t>3)3)3)3)3)</w:t>
      </w:r>
      <w:r>
        <w:rPr>
          <w:rStyle w:val="Znakiprzypiswdolnych"/>
          <w:rFonts w:ascii="Times New Roman" w:hAnsi="Times New Roman"/>
          <w:sz w:val="18"/>
          <w:szCs w:val="18"/>
        </w:rPr>
        <w:t>3)</w:t>
      </w:r>
      <w:r>
        <w:rPr>
          <w:rFonts w:cs="Times New Roman" w:ascii="Times New Roman" w:hAnsi="Times New Roman"/>
          <w:sz w:val="18"/>
          <w:szCs w:val="18"/>
        </w:rPr>
        <w:t>W szczególności obiekty generujące uciążliwości zapachowe, hałasowe, świetlne.</w:t>
      </w:r>
    </w:p>
  </w:footnote>
  <w:footnote w:id="5">
    <w:p>
      <w:pPr>
        <w:pStyle w:val="Normal"/>
        <w:widowControl w:val="false"/>
        <w:spacing w:lineRule="auto" w:line="240" w:before="0" w:after="0"/>
        <w:ind w:left="284" w:hanging="284"/>
        <w:jc w:val="both"/>
        <w:rPr>
          <w:rFonts w:ascii="Times New Roman" w:hAnsi="Times New Roman" w:cs="Times New Roman"/>
          <w:sz w:val="18"/>
          <w:szCs w:val="18"/>
        </w:rPr>
      </w:pPr>
      <w:r>
        <w:rPr>
          <w:rStyle w:val="Znakiprzypiswdolnych"/>
        </w:rPr>
        <w:t>4)</w:t>
      </w:r>
      <w:r>
        <w:rPr>
          <w:rStyle w:val="Znakiprzypiswdolnych"/>
        </w:rPr>
        <w:tab/>
        <w:t>4)4)4)4)4)4)4)4)</w:t>
      </w:r>
      <w:r>
        <w:rPr>
          <w:rStyle w:val="FootnoteCharacters"/>
        </w:rPr>
        <w:t>4)</w:t>
      </w:r>
      <w:r>
        <w:rPr>
          <w:rStyle w:val="Znakiprzypiswdolnych"/>
        </w:rPr>
        <w:t>4)4)4)4)4)</w:t>
      </w:r>
      <w:r>
        <w:rPr>
          <w:rStyle w:val="Znakiprzypiswdolnych"/>
          <w:rFonts w:ascii="Times New Roman" w:hAnsi="Times New Roman"/>
          <w:sz w:val="18"/>
          <w:szCs w:val="18"/>
        </w:rPr>
        <w:t>4)</w:t>
      </w:r>
      <w:r>
        <w:rPr>
          <w:rFonts w:cs="Times New Roman" w:ascii="Times New Roman" w:hAnsi="Times New Roman"/>
          <w:sz w:val="18"/>
          <w:szCs w:val="18"/>
        </w:rPr>
        <w:t>Akty prawne (rozporządzenia, zarządzenia, uchwały) w sprawie:</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dokonania rezerwacji obszaru inwestycji (CPK),</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lokalizacji inwestycji mieszkaniowej lub inwestycji towarzyszącej,</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ustanowienia strefy ochronnej terenu ochrony bezpośredniej i terenu ochrony pośredniej ujęcia wody,</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wyznaczenia obszarów cichych w aglomeracji lub obszarów cichych poza aglomeracją,</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utworzenia obszaru ograniczonego użytkowania,</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uznania zabytku za pomnik historii,</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określenia granic obszaru Pomnika Zagłady i jego strefy ochronnej, utworzenia parku kulturowego,</w:t>
      </w:r>
    </w:p>
    <w:p>
      <w:pPr>
        <w:pStyle w:val="ListParagraph"/>
        <w:widowControl w:val="false"/>
        <w:numPr>
          <w:ilvl w:val="0"/>
          <w:numId w:val="4"/>
        </w:numPr>
        <w:spacing w:lineRule="auto" w:line="240"/>
        <w:ind w:left="567" w:hanging="283"/>
        <w:jc w:val="both"/>
        <w:rPr>
          <w:rFonts w:cs="Times New Roman"/>
          <w:sz w:val="18"/>
          <w:szCs w:val="18"/>
        </w:rPr>
      </w:pPr>
      <w:r>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6">
    <w:p>
      <w:pPr>
        <w:pStyle w:val="Przypisdolny"/>
        <w:widowControl w:val="false"/>
        <w:rPr>
          <w:rFonts w:ascii="Times New Roman" w:hAnsi="Times New Roman"/>
          <w:sz w:val="18"/>
          <w:szCs w:val="18"/>
        </w:rPr>
      </w:pPr>
      <w:r>
        <w:rPr>
          <w:rStyle w:val="Znakiprzypiswdolnych"/>
        </w:rPr>
        <w:t>*</w:t>
      </w:r>
      <w:r>
        <w:rPr>
          <w:rStyle w:val="Znakiprzypiswdolnych"/>
        </w:rPr>
        <w:t>********</w:t>
      </w:r>
      <w:r>
        <w:rPr>
          <w:rStyle w:val="FootnoteCharacters"/>
        </w:rPr>
        <w:t>*</w:t>
      </w:r>
      <w:r>
        <w:rPr>
          <w:rStyle w:val="Znakiprzypiswdolnych"/>
        </w:rPr>
        <w:t>******</w:t>
      </w:r>
      <w:r>
        <w:rPr/>
        <w:t xml:space="preserve"> </w:t>
      </w:r>
      <w:r>
        <w:rPr>
          <w:rFonts w:ascii="Times New Roman" w:hAnsi="Times New Roman"/>
          <w:sz w:val="18"/>
          <w:szCs w:val="18"/>
        </w:rPr>
        <w:t xml:space="preserve">W przypadku braku miejscowego planu zagospodarowania przestrzennego umieszcza się informację „Brak planu”. </w:t>
      </w:r>
    </w:p>
  </w:footnote>
  <w:footnote w:id="7">
    <w:p>
      <w:pPr>
        <w:pStyle w:val="Przypisdolny"/>
        <w:widowControl w:val="false"/>
        <w:ind w:left="284" w:hanging="284"/>
        <w:jc w:val="both"/>
        <w:rPr>
          <w:rFonts w:ascii="Times New Roman" w:hAnsi="Times New Roman"/>
          <w:sz w:val="18"/>
          <w:szCs w:val="18"/>
        </w:rPr>
      </w:pPr>
      <w:r>
        <w:rPr>
          <w:rStyle w:val="Znakiprzypiswdolnych"/>
        </w:rPr>
        <w:t>5)</w:t>
      </w:r>
      <w:r>
        <w:rPr>
          <w:rStyle w:val="Znakiprzypiswdolnych"/>
        </w:rPr>
        <w:tab/>
        <w:t>5)5)5)5)5)5)5)5)</w:t>
      </w:r>
      <w:r>
        <w:rPr>
          <w:rStyle w:val="FootnoteCharacters"/>
        </w:rPr>
        <w:t>5)</w:t>
      </w:r>
      <w:r>
        <w:rPr>
          <w:rStyle w:val="Znakiprzypiswdolnych"/>
        </w:rPr>
        <w:t>5)5)5)5)5)</w:t>
      </w:r>
      <w:r>
        <w:rPr>
          <w:rStyle w:val="Znakiprzypiswdolnych"/>
          <w:rFonts w:ascii="Times New Roman" w:hAnsi="Times New Roman"/>
          <w:sz w:val="18"/>
          <w:szCs w:val="18"/>
        </w:rPr>
        <w:t>5)</w:t>
      </w:r>
      <w:r>
        <w:rPr>
          <w:rFonts w:ascii="Times New Roman" w:hAnsi="Times New Roman"/>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8">
    <w:p>
      <w:pPr>
        <w:pStyle w:val="Przypisdolny"/>
        <w:widowControl w:val="false"/>
        <w:rPr>
          <w:rFonts w:ascii="Times New Roman" w:hAnsi="Times New Roman"/>
          <w:sz w:val="18"/>
          <w:szCs w:val="18"/>
        </w:rPr>
      </w:pPr>
      <w:r>
        <w:rPr>
          <w:rStyle w:val="Znakiprzypiswdolnych"/>
        </w:rPr>
        <w:t>*</w:t>
      </w:r>
      <w:r>
        <w:rPr>
          <w:rStyle w:val="Znakiprzypiswdolnych"/>
        </w:rPr>
        <w:t>********</w:t>
      </w:r>
      <w:r>
        <w:rPr>
          <w:rStyle w:val="FootnoteCharacters"/>
        </w:rPr>
        <w:t>*</w:t>
      </w:r>
      <w:r>
        <w:rPr>
          <w:rStyle w:val="Znakiprzypiswdolnych"/>
        </w:rPr>
        <w:t>*****</w:t>
      </w:r>
      <w:r>
        <w:rPr>
          <w:rStyle w:val="Znakiprzypiswdolnych"/>
          <w:rFonts w:ascii="Times New Roman" w:hAnsi="Times New Roman"/>
          <w:sz w:val="18"/>
          <w:szCs w:val="18"/>
        </w:rPr>
        <w:t>*</w:t>
      </w:r>
      <w:r>
        <w:rPr>
          <w:rFonts w:ascii="Times New Roman" w:hAnsi="Times New Roman"/>
          <w:sz w:val="18"/>
          <w:szCs w:val="18"/>
        </w:rPr>
        <w:t xml:space="preserve"> Niepotrzebne skreślić. </w:t>
      </w:r>
    </w:p>
  </w:footnote>
  <w:footnote w:id="9">
    <w:p>
      <w:pPr>
        <w:pStyle w:val="Przypisdolny"/>
        <w:widowControl w:val="false"/>
        <w:ind w:left="284" w:hanging="284"/>
        <w:jc w:val="both"/>
        <w:rPr>
          <w:rFonts w:ascii="Times New Roman" w:hAnsi="Times New Roman"/>
          <w:sz w:val="18"/>
          <w:szCs w:val="18"/>
        </w:rPr>
      </w:pPr>
      <w:r>
        <w:rPr>
          <w:rStyle w:val="Znakiprzypiswdolnych"/>
        </w:rPr>
        <w:t>6)</w:t>
      </w:r>
      <w:r>
        <w:rPr>
          <w:rStyle w:val="Znakiprzypiswdolnych"/>
        </w:rPr>
        <w:tab/>
        <w:t>6)6)6)6)6)6)6)6)</w:t>
      </w:r>
      <w:r>
        <w:rPr>
          <w:rStyle w:val="FootnoteCharacters"/>
        </w:rPr>
        <w:t>6)</w:t>
      </w:r>
      <w:r>
        <w:rPr>
          <w:rStyle w:val="Znakiprzypiswdolnych"/>
        </w:rPr>
        <w:t>6)6)6)6)6)</w:t>
      </w:r>
      <w:r>
        <w:rPr>
          <w:rStyle w:val="Znakiprzypiswdolnych"/>
          <w:rFonts w:ascii="Times New Roman" w:hAnsi="Times New Roman"/>
          <w:sz w:val="18"/>
          <w:szCs w:val="18"/>
        </w:rPr>
        <w:t>6)</w:t>
      </w:r>
      <w:r>
        <w:rPr>
          <w:rFonts w:ascii="Times New Roman" w:hAnsi="Times New Roman"/>
          <w:sz w:val="18"/>
          <w:szCs w:val="18"/>
        </w:rPr>
        <w:t>Zgodnie z art. 48 ust. 6 ustawy z dnia 20 maja 2021 r.o ochronie praw nabywcy lokalu mieszkalnego lub domu jednorodzinnego oraz o Deweloperskim Funduszu Gwarancyjnym (Dz. U. z 2024 r. poz. 695 z późn. zm.)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o Deweloperskim Funduszu Gwarancyjnym (Dz. U. z 2022 r. poz. 1341)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drawing>
        <wp:anchor behindDoc="1" distT="0" distB="0" distL="0" distR="0" simplePos="0" locked="0" layoutInCell="1" allowOverlap="1" relativeHeight="2">
          <wp:simplePos x="0" y="0"/>
          <wp:positionH relativeFrom="column">
            <wp:align>center</wp:align>
          </wp:positionH>
          <wp:positionV relativeFrom="paragraph">
            <wp:posOffset>-731520</wp:posOffset>
          </wp:positionV>
          <wp:extent cx="2781935" cy="925830"/>
          <wp:effectExtent l="0" t="0" r="0" b="0"/>
          <wp:wrapNone/>
          <wp:docPr id="4"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descr=""/>
                  <pic:cNvPicPr>
                    <a:picLocks noChangeAspect="1" noChangeArrowheads="1"/>
                  </pic:cNvPicPr>
                </pic:nvPicPr>
                <pic:blipFill>
                  <a:blip r:embed="rId1"/>
                  <a:stretch>
                    <a:fillRect/>
                  </a:stretch>
                </pic:blipFill>
                <pic:spPr bwMode="auto">
                  <a:xfrm>
                    <a:off x="0" y="0"/>
                    <a:ext cx="2781935" cy="9258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3"/>
      <w:numFmt w:val="upp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0"/>
        </w:tabs>
        <w:ind w:left="765" w:hanging="40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8"/>
  <w:autoHyphenation w:val="true"/>
  <w:hyphenationZone w:val="425"/>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ea1c22"/>
    <w:rPr/>
  </w:style>
  <w:style w:type="character" w:styleId="TekstprzypisudolnegoZnak" w:customStyle="1">
    <w:name w:val="Tekst przypisu dolnego Znak"/>
    <w:basedOn w:val="DefaultParagraphFont"/>
    <w:uiPriority w:val="99"/>
    <w:semiHidden/>
    <w:qFormat/>
    <w:rsid w:val="00ea1c22"/>
    <w:rPr>
      <w:sz w:val="20"/>
      <w:szCs w:val="20"/>
    </w:rPr>
  </w:style>
  <w:style w:type="character" w:styleId="Znakiprzypiswdolnych" w:customStyle="1">
    <w:name w:val="Znaki przypisów dolnych"/>
    <w:uiPriority w:val="99"/>
    <w:semiHidden/>
    <w:qFormat/>
    <w:rsid w:val="00ea1c22"/>
    <w:rPr>
      <w:rFonts w:cs="Times New Roman"/>
      <w:vertAlign w:val="superscript"/>
    </w:rPr>
  </w:style>
  <w:style w:type="character" w:styleId="FootnoteCharacters">
    <w:name w:val="Footnote Characters"/>
    <w:qFormat/>
    <w:rPr>
      <w:rFonts w:cs="Times New Roman"/>
      <w:vertAlign w:val="superscript"/>
    </w:rPr>
  </w:style>
  <w:style w:type="character" w:styleId="Zakotwiczenieprzypisudolnego">
    <w:name w:val="Footnote Reference"/>
    <w:rPr>
      <w:rFonts w:cs="Times New Roman"/>
      <w:vertAlign w:val="superscript"/>
    </w:rPr>
  </w:style>
  <w:style w:type="character" w:styleId="StopkaZnak" w:customStyle="1">
    <w:name w:val="Stopka Znak"/>
    <w:basedOn w:val="DefaultParagraphFont"/>
    <w:uiPriority w:val="99"/>
    <w:qFormat/>
    <w:rsid w:val="00ea1c22"/>
    <w:rPr/>
  </w:style>
  <w:style w:type="character" w:styleId="TekstdymkaZnak" w:customStyle="1">
    <w:name w:val="Tekst dymka Znak"/>
    <w:basedOn w:val="DefaultParagraphFont"/>
    <w:link w:val="BalloonText"/>
    <w:uiPriority w:val="99"/>
    <w:semiHidden/>
    <w:qFormat/>
    <w:rsid w:val="007e3e4d"/>
    <w:rPr>
      <w:rFonts w:ascii="Segoe UI" w:hAnsi="Segoe UI" w:cs="Segoe UI"/>
      <w:sz w:val="18"/>
      <w:szCs w:val="18"/>
    </w:rPr>
  </w:style>
  <w:style w:type="character" w:styleId="Znakiprzypiswkocowych" w:customStyle="1">
    <w:name w:val="Znaki przypisów końcowych"/>
    <w:qFormat/>
    <w:rPr>
      <w:vertAlign w:val="superscript"/>
    </w:rPr>
  </w:style>
  <w:style w:type="character" w:styleId="EndnoteCharacters">
    <w:name w:val="Endnote Characters"/>
    <w:qFormat/>
    <w:rPr>
      <w:vertAlign w:val="superscript"/>
    </w:rPr>
  </w:style>
  <w:style w:type="character" w:styleId="Zakotwiczenieprzypisukocowego">
    <w:name w:val="Endnote Reference"/>
    <w:rPr>
      <w:vertAlign w:val="superscript"/>
    </w:rPr>
  </w:style>
  <w:style w:type="character" w:styleId="Czeinternetowe">
    <w:name w:val="Hyperlink"/>
    <w:rPr>
      <w:color w:val="000080"/>
      <w:u w:val="single"/>
    </w:rPr>
  </w:style>
  <w:style w:type="character" w:styleId="Odwiedzoneczeinternetowe">
    <w:name w:val="FollowedHyperlink"/>
    <w:rPr>
      <w:color w:val="800000"/>
      <w:u w:val="single"/>
    </w:rPr>
  </w:style>
  <w:style w:type="paragraph" w:styleId="Nagwek">
    <w:name w:val="Nagłówek"/>
    <w:basedOn w:val="Normal"/>
    <w:next w:val="Tretekstu"/>
    <w:qFormat/>
    <w:pPr>
      <w:keepNext w:val="true"/>
      <w:spacing w:before="240" w:after="120"/>
    </w:pPr>
    <w:rPr>
      <w:rFonts w:ascii="Carlito" w:hAnsi="Carlito" w:eastAsia="DejaVu Sans" w:cs="DejaVu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ea1c22"/>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ea1c22"/>
    <w:pPr>
      <w:spacing w:lineRule="auto" w:line="240" w:before="0" w:after="0"/>
    </w:pPr>
    <w:rPr>
      <w:sz w:val="20"/>
      <w:szCs w:val="20"/>
    </w:rPr>
  </w:style>
  <w:style w:type="paragraph" w:styleId="ListParagraph">
    <w:name w:val="List Paragraph"/>
    <w:basedOn w:val="Normal"/>
    <w:uiPriority w:val="34"/>
    <w:qFormat/>
    <w:rsid w:val="00ea1c22"/>
    <w:pPr>
      <w:widowControl w:val="false"/>
      <w:spacing w:lineRule="auto" w:line="360" w:before="0" w:after="0"/>
      <w:ind w:left="720" w:hanging="0"/>
      <w:contextualSpacing/>
    </w:pPr>
    <w:rPr>
      <w:rFonts w:ascii="Times New Roman" w:hAnsi="Times New Roman" w:eastAsia="Times New Roman" w:cs="Arial"/>
      <w:sz w:val="24"/>
      <w:szCs w:val="20"/>
      <w:lang w:eastAsia="pl-PL"/>
    </w:rPr>
  </w:style>
  <w:style w:type="paragraph" w:styleId="Stopka">
    <w:name w:val="Footer"/>
    <w:basedOn w:val="Normal"/>
    <w:link w:val="StopkaZnak"/>
    <w:uiPriority w:val="99"/>
    <w:unhideWhenUsed/>
    <w:rsid w:val="00ea1c22"/>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7e3e4d"/>
    <w:pPr>
      <w:spacing w:lineRule="auto" w:line="240" w:before="0" w:after="0"/>
    </w:pPr>
    <w:rPr>
      <w:rFonts w:ascii="Segoe UI" w:hAnsi="Segoe UI" w:cs="Segoe UI"/>
      <w:sz w:val="18"/>
      <w:szCs w:val="18"/>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ela-Siatka111">
    <w:name w:val="Tabela - Siatka111"/>
    <w:basedOn w:val="Standardowy"/>
    <w:rsid w:val="00ea1c22"/>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
    <w:name w:val="Table Grid"/>
    <w:basedOn w:val="Standardowy"/>
    <w:uiPriority w:val="39"/>
    <w:rsid w:val="00ea1c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lomza.e-mapa.net/" TargetMode="External"/><Relationship Id="rId3" Type="http://schemas.openxmlformats.org/officeDocument/2006/relationships/hyperlink" Target="https://mlomza.e-mapa.net/?service=pln&amp;request=getUstaleniaSzczegolowe&amp;p=7&amp;n=MN-U" TargetMode="External"/><Relationship Id="rId4" Type="http://schemas.openxmlformats.org/officeDocument/2006/relationships/hyperlink" Target="https://mlomza.e-mapa.net/?service=pln&amp;request=getUstaleniaSzczegolowe&amp;p=7&amp;n=MN-U" TargetMode="External"/><Relationship Id="rId5" Type="http://schemas.openxmlformats.org/officeDocument/2006/relationships/hyperlink" Target="https://mlomza.e-mapa.net/?service=pln&amp;request=getUstaleniaSzczegolowe&amp;p=7&amp;n=MN-U" TargetMode="External"/><Relationship Id="rId6" Type="http://schemas.openxmlformats.org/officeDocument/2006/relationships/hyperlink" Target="https://mlomza.e-mapa.net/?service=pln&amp;request=getUstaleniaSzczegolowe&amp;p=7&amp;n=MN-U" TargetMode="External"/><Relationship Id="rId7" Type="http://schemas.openxmlformats.org/officeDocument/2006/relationships/hyperlink" Target="https://mlomza.e-mapa.net/?service=pln&amp;request=getUstaleniaSzczegolowe&amp;p=7&amp;n=MN-U" TargetMode="External"/><Relationship Id="rId8" Type="http://schemas.openxmlformats.org/officeDocument/2006/relationships/hyperlink" Target="https://mlomza.e-mapa.net/" TargetMode="External"/><Relationship Id="rId9" Type="http://schemas.openxmlformats.org/officeDocument/2006/relationships/hyperlink" Target="https://mlomza.e-mapa.net/" TargetMode="External"/><Relationship Id="rId10" Type="http://schemas.openxmlformats.org/officeDocument/2006/relationships/hyperlink" Target="https://mlomza.e-mapa.net/" TargetMode="External"/><Relationship Id="rId11" Type="http://schemas.openxmlformats.org/officeDocument/2006/relationships/hyperlink" Target="https://mlomza.e-mapa.net/" TargetMode="External"/><Relationship Id="rId12" Type="http://schemas.openxmlformats.org/officeDocument/2006/relationships/hyperlink" Target="http://www.lomza.pl/bip/prawo.php?wiad=56" TargetMode="External"/><Relationship Id="rId13" Type="http://schemas.openxmlformats.org/officeDocument/2006/relationships/hyperlink" Target="https://mlomza.e-mapa.net/" TargetMode="External"/><Relationship Id="rId14" Type="http://schemas.openxmlformats.org/officeDocument/2006/relationships/hyperlink" Target="http://www.lomza.pl/bip/prawo.php?wiad=56" TargetMode="External"/><Relationship Id="rId15" Type="http://schemas.openxmlformats.org/officeDocument/2006/relationships/hyperlink" Target="https://mlomza.e-mapa.net/" TargetMode="External"/><Relationship Id="rId16" Type="http://schemas.openxmlformats.org/officeDocument/2006/relationships/hyperlink" Target="http://www.lomza.pl/bip/prawo.php?wiad=56" TargetMode="External"/><Relationship Id="rId17" Type="http://schemas.openxmlformats.org/officeDocument/2006/relationships/hyperlink" Target="https://mlomza.e-mapa.net/" TargetMode="External"/><Relationship Id="rId18" Type="http://schemas.openxmlformats.org/officeDocument/2006/relationships/hyperlink" Target="http://www.lomza.pl/bip/prawo.php?wiad=56" TargetMode="External"/><Relationship Id="rId19" Type="http://schemas.openxmlformats.org/officeDocument/2006/relationships/hyperlink" Target="https://mlomza.e-mapa.net/" TargetMode="External"/><Relationship Id="rId20" Type="http://schemas.openxmlformats.org/officeDocument/2006/relationships/hyperlink" Target="http://www.lomza.pl/bip/prawo.php?wiad=56" TargetMode="External"/><Relationship Id="rId21" Type="http://schemas.openxmlformats.org/officeDocument/2006/relationships/hyperlink" Target="https://mlomza.e-mapa.net/" TargetMode="External"/><Relationship Id="rId22" Type="http://schemas.openxmlformats.org/officeDocument/2006/relationships/hyperlink" Target="http://www.lomza.pl/bip/prawo.php?wiad=56" TargetMode="External"/><Relationship Id="rId23" Type="http://schemas.openxmlformats.org/officeDocument/2006/relationships/hyperlink" Target="https://mlomza.e-mapa.net/" TargetMode="External"/><Relationship Id="rId24" Type="http://schemas.openxmlformats.org/officeDocument/2006/relationships/image" Target="media/image1.png"/><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footnotes" Target="footnotes.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9327</TotalTime>
  <Application>LibreOffice/7.5.4.2$Windows_X86_64 LibreOffice_project/36ccfdc35048b057fd9854c757a8b67ec53977b6</Application>
  <AppVersion>15.0000</AppVersion>
  <Pages>22</Pages>
  <Words>5560</Words>
  <Characters>37486</Characters>
  <CharactersWithSpaces>42637</CharactersWithSpaces>
  <Paragraphs>465</Paragraphs>
  <Company>Kancelaria Prezesa Rady Ministrow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2021-02-19T15:25:00Z</dcterms:created>
  <dc:creator>Pietrzak Ewa</dc:creator>
  <dc:description/>
  <dc:language>pl-PL</dc:language>
  <cp:lastModifiedBy/>
  <dcterms:modified xsi:type="dcterms:W3CDTF">2026-04-21T20:42:55Z</dcterms:modified>
  <cp:revision>94</cp:revision>
  <dc:subject/>
  <dc:title/>
</cp:coreProperties>
</file>

<file path=docProps/custom.xml><?xml version="1.0" encoding="utf-8"?>
<Properties xmlns="http://schemas.openxmlformats.org/officeDocument/2006/custom-properties" xmlns:vt="http://schemas.openxmlformats.org/officeDocument/2006/docPropsVTypes"/>
</file>